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0D" w:rsidRPr="00105798" w:rsidRDefault="0087730D" w:rsidP="00105798">
      <w:pPr>
        <w:pStyle w:val="NormalWeb"/>
        <w:spacing w:line="276" w:lineRule="auto"/>
        <w:jc w:val="center"/>
        <w:rPr>
          <w:rFonts w:ascii="Century Gothic" w:hAnsi="Century Gothic" w:cs="Arial"/>
          <w:b/>
          <w:bCs/>
          <w:szCs w:val="22"/>
        </w:rPr>
      </w:pPr>
      <w:bookmarkStart w:id="0" w:name="_GoBack"/>
      <w:r w:rsidRPr="00105798">
        <w:rPr>
          <w:rFonts w:ascii="Century Gothic" w:hAnsi="Century Gothic" w:cs="Arial"/>
          <w:b/>
          <w:bCs/>
          <w:szCs w:val="22"/>
        </w:rPr>
        <w:t>AFFIDAVIT IN SUPPORT OF THE APPLICATION</w:t>
      </w:r>
    </w:p>
    <w:p w:rsidR="0087730D" w:rsidRPr="00105798" w:rsidRDefault="0087730D" w:rsidP="00105798">
      <w:pPr>
        <w:pStyle w:val="NormalWeb"/>
        <w:spacing w:line="276" w:lineRule="auto"/>
        <w:rPr>
          <w:rFonts w:ascii="Century Gothic" w:hAnsi="Century Gothic" w:cs="Arial"/>
          <w:szCs w:val="22"/>
        </w:rPr>
      </w:pPr>
      <w:proofErr w:type="gramStart"/>
      <w:r w:rsidRPr="00105798">
        <w:rPr>
          <w:rFonts w:ascii="Century Gothic" w:hAnsi="Century Gothic" w:cs="Arial"/>
          <w:szCs w:val="22"/>
        </w:rPr>
        <w:t>IN THE COURT OF THE DISTRICT JUDGE....................</w:t>
      </w:r>
      <w:proofErr w:type="gramEnd"/>
    </w:p>
    <w:p w:rsidR="0087730D" w:rsidRPr="00105798" w:rsidRDefault="0087730D" w:rsidP="00105798">
      <w:pPr>
        <w:pStyle w:val="NormalWeb"/>
        <w:spacing w:line="276" w:lineRule="auto"/>
        <w:ind w:left="720" w:firstLine="720"/>
        <w:rPr>
          <w:rFonts w:ascii="Century Gothic" w:hAnsi="Century Gothic" w:cs="Arial"/>
          <w:szCs w:val="22"/>
        </w:rPr>
      </w:pPr>
      <w:r w:rsidRPr="00105798">
        <w:rPr>
          <w:rFonts w:ascii="Century Gothic" w:hAnsi="Century Gothic" w:cs="Arial"/>
          <w:szCs w:val="22"/>
        </w:rPr>
        <w:t>Affidavit </w:t>
      </w:r>
    </w:p>
    <w:p w:rsidR="0087730D" w:rsidRPr="00105798" w:rsidRDefault="0087730D" w:rsidP="00105798">
      <w:pPr>
        <w:pStyle w:val="NormalWeb"/>
        <w:spacing w:line="276" w:lineRule="auto"/>
        <w:ind w:left="1440"/>
        <w:rPr>
          <w:rFonts w:ascii="Century Gothic" w:hAnsi="Century Gothic" w:cs="Arial"/>
          <w:szCs w:val="22"/>
        </w:rPr>
      </w:pPr>
      <w:r w:rsidRPr="00105798">
        <w:rPr>
          <w:rFonts w:ascii="Century Gothic" w:hAnsi="Century Gothic" w:cs="Arial"/>
          <w:szCs w:val="22"/>
        </w:rPr>
        <w:t xml:space="preserve">   </w:t>
      </w:r>
      <w:proofErr w:type="gramStart"/>
      <w:r w:rsidRPr="00105798">
        <w:rPr>
          <w:rFonts w:ascii="Century Gothic" w:hAnsi="Century Gothic" w:cs="Arial"/>
          <w:szCs w:val="22"/>
        </w:rPr>
        <w:t>in</w:t>
      </w:r>
      <w:proofErr w:type="gramEnd"/>
      <w:r w:rsidRPr="00105798">
        <w:rPr>
          <w:rFonts w:ascii="Century Gothic" w:hAnsi="Century Gothic" w:cs="Arial"/>
          <w:szCs w:val="22"/>
        </w:rPr>
        <w:t xml:space="preserve"> </w:t>
      </w:r>
    </w:p>
    <w:p w:rsidR="0087730D" w:rsidRPr="00105798" w:rsidRDefault="0087730D" w:rsidP="00105798">
      <w:pPr>
        <w:pStyle w:val="NormalWeb"/>
        <w:spacing w:line="276" w:lineRule="auto"/>
        <w:rPr>
          <w:rFonts w:ascii="Century Gothic" w:hAnsi="Century Gothic" w:cs="Arial"/>
          <w:szCs w:val="22"/>
        </w:rPr>
      </w:pPr>
      <w:r w:rsidRPr="00105798">
        <w:rPr>
          <w:rFonts w:ascii="Century Gothic" w:hAnsi="Century Gothic" w:cs="Arial"/>
          <w:szCs w:val="22"/>
        </w:rPr>
        <w:t xml:space="preserve">Civil Misc. Application No..................... </w:t>
      </w:r>
      <w:proofErr w:type="gramStart"/>
      <w:r w:rsidRPr="00105798">
        <w:rPr>
          <w:rFonts w:ascii="Century Gothic" w:hAnsi="Century Gothic" w:cs="Arial"/>
          <w:szCs w:val="22"/>
        </w:rPr>
        <w:t>of</w:t>
      </w:r>
      <w:proofErr w:type="gramEnd"/>
      <w:r w:rsidRPr="00105798">
        <w:rPr>
          <w:rFonts w:ascii="Century Gothic" w:hAnsi="Century Gothic" w:cs="Arial"/>
          <w:szCs w:val="22"/>
        </w:rPr>
        <w:t xml:space="preserve"> 19....................</w:t>
      </w:r>
    </w:p>
    <w:p w:rsidR="0087730D" w:rsidRPr="00105798" w:rsidRDefault="0087730D" w:rsidP="00105798">
      <w:pPr>
        <w:pStyle w:val="NormalWeb"/>
        <w:spacing w:line="276" w:lineRule="auto"/>
        <w:jc w:val="center"/>
        <w:rPr>
          <w:rFonts w:ascii="Century Gothic" w:hAnsi="Century Gothic" w:cs="Arial"/>
          <w:szCs w:val="22"/>
        </w:rPr>
      </w:pPr>
      <w:r w:rsidRPr="00105798">
        <w:rPr>
          <w:rFonts w:ascii="Century Gothic" w:hAnsi="Century Gothic" w:cs="Arial"/>
          <w:szCs w:val="22"/>
        </w:rPr>
        <w:t>A. B................................................................... Plaintiff</w:t>
      </w:r>
    </w:p>
    <w:p w:rsidR="0087730D" w:rsidRPr="00105798" w:rsidRDefault="0087730D" w:rsidP="00105798">
      <w:pPr>
        <w:pStyle w:val="NormalWeb"/>
        <w:spacing w:line="276" w:lineRule="auto"/>
        <w:jc w:val="center"/>
        <w:rPr>
          <w:rFonts w:ascii="Century Gothic" w:hAnsi="Century Gothic" w:cs="Arial"/>
          <w:i/>
          <w:iCs/>
          <w:szCs w:val="22"/>
        </w:rPr>
      </w:pPr>
      <w:proofErr w:type="gramStart"/>
      <w:r w:rsidRPr="00105798">
        <w:rPr>
          <w:rFonts w:ascii="Century Gothic" w:hAnsi="Century Gothic" w:cs="Arial"/>
          <w:i/>
          <w:iCs/>
          <w:szCs w:val="22"/>
        </w:rPr>
        <w:t>versus</w:t>
      </w:r>
      <w:proofErr w:type="gramEnd"/>
      <w:r w:rsidRPr="00105798">
        <w:rPr>
          <w:rFonts w:ascii="Century Gothic" w:hAnsi="Century Gothic" w:cs="Arial"/>
          <w:i/>
          <w:iCs/>
          <w:szCs w:val="22"/>
        </w:rPr>
        <w:t xml:space="preserve"> </w:t>
      </w:r>
    </w:p>
    <w:p w:rsidR="0087730D" w:rsidRPr="00105798" w:rsidRDefault="0087730D" w:rsidP="00105798">
      <w:pPr>
        <w:pStyle w:val="NormalWeb"/>
        <w:spacing w:line="276" w:lineRule="auto"/>
        <w:jc w:val="center"/>
        <w:rPr>
          <w:rFonts w:ascii="Century Gothic" w:hAnsi="Century Gothic" w:cs="Arial"/>
          <w:szCs w:val="22"/>
        </w:rPr>
      </w:pPr>
      <w:r w:rsidRPr="00105798">
        <w:rPr>
          <w:rFonts w:ascii="Century Gothic" w:hAnsi="Century Gothic" w:cs="Arial"/>
          <w:szCs w:val="22"/>
        </w:rPr>
        <w:t>C. D................................................................ Defendant</w:t>
      </w:r>
    </w:p>
    <w:p w:rsidR="0087730D" w:rsidRPr="00105798" w:rsidRDefault="0087730D" w:rsidP="00105798">
      <w:pPr>
        <w:pStyle w:val="NormalWeb"/>
        <w:spacing w:line="276" w:lineRule="auto"/>
        <w:rPr>
          <w:rFonts w:ascii="Century Gothic" w:hAnsi="Century Gothic" w:cs="Arial"/>
          <w:szCs w:val="22"/>
        </w:rPr>
      </w:pPr>
      <w:r w:rsidRPr="00105798">
        <w:rPr>
          <w:rFonts w:ascii="Century Gothic" w:hAnsi="Century Gothic" w:cs="Arial"/>
          <w:szCs w:val="22"/>
        </w:rPr>
        <w:t xml:space="preserve">Affidavit of A. B. s/o.................... </w:t>
      </w:r>
      <w:proofErr w:type="gramStart"/>
      <w:r w:rsidRPr="00105798">
        <w:rPr>
          <w:rFonts w:ascii="Century Gothic" w:hAnsi="Century Gothic" w:cs="Arial"/>
          <w:szCs w:val="22"/>
        </w:rPr>
        <w:t>aged</w:t>
      </w:r>
      <w:proofErr w:type="gramEnd"/>
      <w:r w:rsidRPr="00105798">
        <w:rPr>
          <w:rFonts w:ascii="Century Gothic" w:hAnsi="Century Gothic" w:cs="Arial"/>
          <w:szCs w:val="22"/>
        </w:rPr>
        <w:t xml:space="preserve"> about.................... </w:t>
      </w:r>
      <w:proofErr w:type="gramStart"/>
      <w:r w:rsidRPr="00105798">
        <w:rPr>
          <w:rFonts w:ascii="Century Gothic" w:hAnsi="Century Gothic" w:cs="Arial"/>
          <w:szCs w:val="22"/>
        </w:rPr>
        <w:t>years</w:t>
      </w:r>
      <w:proofErr w:type="gramEnd"/>
      <w:r w:rsidRPr="00105798">
        <w:rPr>
          <w:rFonts w:ascii="Century Gothic" w:hAnsi="Century Gothic" w:cs="Arial"/>
          <w:szCs w:val="22"/>
        </w:rPr>
        <w:t>, resident of .................... District....................</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 xml:space="preserve">I, A. B. Deponent </w:t>
      </w:r>
      <w:proofErr w:type="spellStart"/>
      <w:r w:rsidRPr="00105798">
        <w:rPr>
          <w:rFonts w:ascii="Century Gothic" w:hAnsi="Century Gothic" w:cs="Arial"/>
          <w:szCs w:val="22"/>
        </w:rPr>
        <w:t>abovenamed</w:t>
      </w:r>
      <w:proofErr w:type="spellEnd"/>
      <w:r w:rsidRPr="00105798">
        <w:rPr>
          <w:rFonts w:ascii="Century Gothic" w:hAnsi="Century Gothic" w:cs="Arial"/>
          <w:szCs w:val="22"/>
        </w:rPr>
        <w:t xml:space="preserve"> solemnly state and affirm as </w:t>
      </w:r>
      <w:proofErr w:type="gramStart"/>
      <w:r w:rsidRPr="00105798">
        <w:rPr>
          <w:rFonts w:ascii="Century Gothic" w:hAnsi="Century Gothic" w:cs="Arial"/>
          <w:szCs w:val="22"/>
        </w:rPr>
        <w:t>follows</w:t>
      </w:r>
      <w:proofErr w:type="gramEnd"/>
      <w:r w:rsidRPr="00105798">
        <w:rPr>
          <w:rFonts w:ascii="Century Gothic" w:hAnsi="Century Gothic" w:cs="Arial"/>
          <w:szCs w:val="22"/>
        </w:rPr>
        <w:t>:</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 xml:space="preserve">1. That I am the applicant in the </w:t>
      </w:r>
      <w:proofErr w:type="spellStart"/>
      <w:r w:rsidRPr="00105798">
        <w:rPr>
          <w:rFonts w:ascii="Century Gothic" w:hAnsi="Century Gothic" w:cs="Arial"/>
          <w:szCs w:val="22"/>
        </w:rPr>
        <w:t>abovenoted</w:t>
      </w:r>
      <w:proofErr w:type="spellEnd"/>
      <w:r w:rsidRPr="00105798">
        <w:rPr>
          <w:rFonts w:ascii="Century Gothic" w:hAnsi="Century Gothic" w:cs="Arial"/>
          <w:szCs w:val="22"/>
        </w:rPr>
        <w:t xml:space="preserve"> miscellaneous application for transfer of the case and as such am fully acquainted with the facts deposed to below.</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2. That I have been read over the contents of the accompanying misc. application and those of this affidavit and have fully understood the same.</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 xml:space="preserve">3. That the contents of </w:t>
      </w:r>
      <w:proofErr w:type="spellStart"/>
      <w:r w:rsidRPr="00105798">
        <w:rPr>
          <w:rFonts w:ascii="Century Gothic" w:hAnsi="Century Gothic" w:cs="Arial"/>
          <w:szCs w:val="22"/>
        </w:rPr>
        <w:t>paras</w:t>
      </w:r>
      <w:proofErr w:type="spellEnd"/>
      <w:r w:rsidRPr="00105798">
        <w:rPr>
          <w:rFonts w:ascii="Century Gothic" w:hAnsi="Century Gothic" w:cs="Arial"/>
          <w:szCs w:val="22"/>
        </w:rPr>
        <w:t xml:space="preserve"> 1, 2, 3, 4 and 6 of the application and those of </w:t>
      </w:r>
      <w:proofErr w:type="spellStart"/>
      <w:r w:rsidRPr="00105798">
        <w:rPr>
          <w:rFonts w:ascii="Century Gothic" w:hAnsi="Century Gothic" w:cs="Arial"/>
          <w:szCs w:val="22"/>
        </w:rPr>
        <w:t>paras</w:t>
      </w:r>
      <w:proofErr w:type="spellEnd"/>
      <w:r w:rsidRPr="00105798">
        <w:rPr>
          <w:rFonts w:ascii="Century Gothic" w:hAnsi="Century Gothic" w:cs="Arial"/>
          <w:szCs w:val="22"/>
        </w:rPr>
        <w:t xml:space="preserve"> 1 and 2 of this affidavit are true to my personal knowledge, that contents of </w:t>
      </w:r>
      <w:proofErr w:type="spellStart"/>
      <w:r w:rsidRPr="00105798">
        <w:rPr>
          <w:rFonts w:ascii="Century Gothic" w:hAnsi="Century Gothic" w:cs="Arial"/>
          <w:szCs w:val="22"/>
        </w:rPr>
        <w:t>para</w:t>
      </w:r>
      <w:proofErr w:type="spellEnd"/>
      <w:r w:rsidRPr="00105798">
        <w:rPr>
          <w:rFonts w:ascii="Century Gothic" w:hAnsi="Century Gothic" w:cs="Arial"/>
          <w:szCs w:val="22"/>
        </w:rPr>
        <w:t xml:space="preserve"> 5 of the application are based on legal advice which I believe to be true. That no part of this affidavit is false and nothing material has been concealed.</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 xml:space="preserve">Verified this.................... </w:t>
      </w:r>
      <w:proofErr w:type="gramStart"/>
      <w:r w:rsidRPr="00105798">
        <w:rPr>
          <w:rFonts w:ascii="Century Gothic" w:hAnsi="Century Gothic" w:cs="Arial"/>
          <w:szCs w:val="22"/>
        </w:rPr>
        <w:t>day</w:t>
      </w:r>
      <w:proofErr w:type="gramEnd"/>
      <w:r w:rsidRPr="00105798">
        <w:rPr>
          <w:rFonts w:ascii="Century Gothic" w:hAnsi="Century Gothic" w:cs="Arial"/>
          <w:szCs w:val="22"/>
        </w:rPr>
        <w:t xml:space="preserve"> of.................... </w:t>
      </w:r>
      <w:proofErr w:type="gramStart"/>
      <w:r w:rsidRPr="00105798">
        <w:rPr>
          <w:rFonts w:ascii="Century Gothic" w:hAnsi="Century Gothic" w:cs="Arial"/>
          <w:szCs w:val="22"/>
        </w:rPr>
        <w:t>at</w:t>
      </w:r>
      <w:proofErr w:type="gramEnd"/>
      <w:r w:rsidRPr="00105798">
        <w:rPr>
          <w:rFonts w:ascii="Century Gothic" w:hAnsi="Century Gothic" w:cs="Arial"/>
          <w:szCs w:val="22"/>
        </w:rPr>
        <w:t>....................</w:t>
      </w:r>
    </w:p>
    <w:p w:rsidR="0087730D" w:rsidRPr="00105798" w:rsidRDefault="0087730D" w:rsidP="00105798">
      <w:pPr>
        <w:pStyle w:val="NormalWeb"/>
        <w:spacing w:line="276" w:lineRule="auto"/>
        <w:jc w:val="right"/>
        <w:rPr>
          <w:rFonts w:ascii="Century Gothic" w:hAnsi="Century Gothic" w:cs="Arial"/>
          <w:szCs w:val="22"/>
        </w:rPr>
      </w:pPr>
      <w:r w:rsidRPr="00105798">
        <w:rPr>
          <w:rFonts w:ascii="Century Gothic" w:hAnsi="Century Gothic" w:cs="Arial"/>
          <w:szCs w:val="22"/>
        </w:rPr>
        <w:t>Sd. Deponent</w:t>
      </w:r>
    </w:p>
    <w:p w:rsidR="0087730D" w:rsidRPr="00105798" w:rsidRDefault="0087730D" w:rsidP="00105798">
      <w:pPr>
        <w:pStyle w:val="NormalWeb"/>
        <w:spacing w:line="276" w:lineRule="auto"/>
        <w:jc w:val="center"/>
        <w:rPr>
          <w:rFonts w:ascii="Century Gothic" w:hAnsi="Century Gothic" w:cs="Arial"/>
          <w:b/>
          <w:bCs/>
          <w:szCs w:val="22"/>
        </w:rPr>
      </w:pPr>
      <w:r w:rsidRPr="00105798">
        <w:rPr>
          <w:rFonts w:ascii="Century Gothic" w:hAnsi="Century Gothic" w:cs="Arial"/>
          <w:b/>
          <w:bCs/>
          <w:szCs w:val="22"/>
        </w:rPr>
        <w:t>CASE LAW</w:t>
      </w:r>
    </w:p>
    <w:p w:rsidR="0087730D" w:rsidRPr="00105798" w:rsidRDefault="0087730D" w:rsidP="00105798">
      <w:pPr>
        <w:pStyle w:val="NormalWeb"/>
        <w:spacing w:line="276" w:lineRule="auto"/>
        <w:rPr>
          <w:rFonts w:ascii="Century Gothic" w:hAnsi="Century Gothic" w:cs="Arial"/>
          <w:b/>
          <w:bCs/>
          <w:i/>
          <w:iCs/>
          <w:szCs w:val="22"/>
        </w:rPr>
      </w:pPr>
      <w:r w:rsidRPr="00105798">
        <w:rPr>
          <w:rFonts w:ascii="Century Gothic" w:hAnsi="Century Gothic" w:cs="Arial"/>
          <w:b/>
          <w:bCs/>
          <w:i/>
          <w:iCs/>
          <w:szCs w:val="22"/>
        </w:rPr>
        <w:t>Sections 22 and 23</w:t>
      </w:r>
    </w:p>
    <w:p w:rsidR="0087730D" w:rsidRPr="00105798" w:rsidRDefault="0087730D" w:rsidP="00105798">
      <w:pPr>
        <w:pStyle w:val="NormalWeb"/>
        <w:spacing w:line="276" w:lineRule="auto"/>
        <w:jc w:val="both"/>
        <w:rPr>
          <w:rFonts w:ascii="Century Gothic" w:hAnsi="Century Gothic" w:cs="Arial"/>
          <w:b/>
          <w:bCs/>
          <w:szCs w:val="22"/>
        </w:rPr>
      </w:pPr>
      <w:r w:rsidRPr="00105798">
        <w:rPr>
          <w:rFonts w:ascii="Century Gothic" w:hAnsi="Century Gothic" w:cs="Arial"/>
          <w:b/>
          <w:bCs/>
          <w:szCs w:val="22"/>
        </w:rPr>
        <w:lastRenderedPageBreak/>
        <w:t>TRANSFER OF CASE — NATURE OF DISPUTES INVOLVED IN TWO CASES SUCH THEY BE HEARD BY SAME COURT — SUIT FILED BY HUSBAND TRANSFERRED.</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 xml:space="preserve">Having regard to the nature of the disputes involved in the two cases, it is highly expedient that the cases are heard by the same court. On the earlier occasion the respondent made an application for transfer of the </w:t>
      </w:r>
      <w:proofErr w:type="spellStart"/>
      <w:r w:rsidRPr="00105798">
        <w:rPr>
          <w:rFonts w:ascii="Century Gothic" w:hAnsi="Century Gothic" w:cs="Arial"/>
          <w:szCs w:val="22"/>
        </w:rPr>
        <w:t>Dibrugarh</w:t>
      </w:r>
      <w:proofErr w:type="spellEnd"/>
      <w:r w:rsidRPr="00105798">
        <w:rPr>
          <w:rFonts w:ascii="Century Gothic" w:hAnsi="Century Gothic" w:cs="Arial"/>
          <w:szCs w:val="22"/>
        </w:rPr>
        <w:t xml:space="preserve"> case to Delhi which was rejected by the court.</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 xml:space="preserve">The </w:t>
      </w:r>
      <w:proofErr w:type="spellStart"/>
      <w:r w:rsidRPr="00105798">
        <w:rPr>
          <w:rFonts w:ascii="Century Gothic" w:hAnsi="Century Gothic" w:cs="Arial"/>
          <w:szCs w:val="22"/>
        </w:rPr>
        <w:t>Dibrugarh</w:t>
      </w:r>
      <w:proofErr w:type="spellEnd"/>
      <w:r w:rsidRPr="00105798">
        <w:rPr>
          <w:rFonts w:ascii="Century Gothic" w:hAnsi="Century Gothic" w:cs="Arial"/>
          <w:szCs w:val="22"/>
        </w:rPr>
        <w:t xml:space="preserve"> case, therefore, has to be heard there. In the circumstances, it is proper to transfer the Delhi case to </w:t>
      </w:r>
      <w:proofErr w:type="spellStart"/>
      <w:r w:rsidRPr="00105798">
        <w:rPr>
          <w:rFonts w:ascii="Century Gothic" w:hAnsi="Century Gothic" w:cs="Arial"/>
          <w:szCs w:val="22"/>
        </w:rPr>
        <w:t>Dibrugarh</w:t>
      </w:r>
      <w:proofErr w:type="spellEnd"/>
      <w:r w:rsidRPr="00105798">
        <w:rPr>
          <w:rFonts w:ascii="Century Gothic" w:hAnsi="Century Gothic" w:cs="Arial"/>
          <w:szCs w:val="22"/>
        </w:rPr>
        <w:t xml:space="preserve">. Although it may cause the respondent some trouble of undertaking the journey to </w:t>
      </w:r>
      <w:proofErr w:type="spellStart"/>
      <w:r w:rsidRPr="00105798">
        <w:rPr>
          <w:rFonts w:ascii="Century Gothic" w:hAnsi="Century Gothic" w:cs="Arial"/>
          <w:szCs w:val="22"/>
        </w:rPr>
        <w:t>Dibrugarh</w:t>
      </w:r>
      <w:proofErr w:type="spellEnd"/>
      <w:r w:rsidRPr="00105798">
        <w:rPr>
          <w:rFonts w:ascii="Century Gothic" w:hAnsi="Century Gothic" w:cs="Arial"/>
          <w:szCs w:val="22"/>
        </w:rPr>
        <w:t xml:space="preserve"> but, for that reason in the facts of the present case it cannot be assumed that he will be prejudiced in prosecuting his case. If he is not in any financial difficulty, as it appears from the records and his own statement before this court, he can make an appropriate arrangement for his representation at </w:t>
      </w:r>
      <w:proofErr w:type="spellStart"/>
      <w:r w:rsidRPr="00105798">
        <w:rPr>
          <w:rFonts w:ascii="Century Gothic" w:hAnsi="Century Gothic" w:cs="Arial"/>
          <w:szCs w:val="22"/>
        </w:rPr>
        <w:t>Dibrugarh</w:t>
      </w:r>
      <w:proofErr w:type="spellEnd"/>
      <w:r w:rsidRPr="00105798">
        <w:rPr>
          <w:rFonts w:ascii="Century Gothic" w:hAnsi="Century Gothic" w:cs="Arial"/>
          <w:szCs w:val="22"/>
        </w:rPr>
        <w:t xml:space="preserve"> and may not remain at </w:t>
      </w:r>
      <w:proofErr w:type="spellStart"/>
      <w:r w:rsidRPr="00105798">
        <w:rPr>
          <w:rFonts w:ascii="Century Gothic" w:hAnsi="Century Gothic" w:cs="Arial"/>
          <w:szCs w:val="22"/>
        </w:rPr>
        <w:t>Dibrugarh</w:t>
      </w:r>
      <w:proofErr w:type="spellEnd"/>
      <w:r w:rsidRPr="00105798">
        <w:rPr>
          <w:rFonts w:ascii="Century Gothic" w:hAnsi="Century Gothic" w:cs="Arial"/>
          <w:szCs w:val="22"/>
        </w:rPr>
        <w:t xml:space="preserve"> continuously for looking after the cases. It is expected that the trial Judge may fix a firm date for hearing of the case to avoid adjournments so that the respondent may not have to pay repeated visits to Dibrugarh.1</w:t>
      </w:r>
    </w:p>
    <w:p w:rsidR="0087730D" w:rsidRPr="00105798" w:rsidRDefault="0087730D" w:rsidP="00105798">
      <w:pPr>
        <w:pStyle w:val="NormalWeb"/>
        <w:spacing w:line="276" w:lineRule="auto"/>
        <w:rPr>
          <w:rFonts w:ascii="Century Gothic" w:hAnsi="Century Gothic" w:cs="Arial"/>
          <w:b/>
          <w:bCs/>
          <w:szCs w:val="22"/>
        </w:rPr>
      </w:pPr>
      <w:proofErr w:type="gramStart"/>
      <w:r w:rsidRPr="00105798">
        <w:rPr>
          <w:rFonts w:ascii="Century Gothic" w:hAnsi="Century Gothic" w:cs="Arial"/>
          <w:b/>
          <w:bCs/>
          <w:szCs w:val="22"/>
        </w:rPr>
        <w:t>SCOPE OF THE SECTION.</w:t>
      </w:r>
      <w:proofErr w:type="gramEnd"/>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While determining whether to transfer a suit to a court having jurisdiction, the balance of convenience of all the parties and the witnesses if any, must be considered.2</w:t>
      </w:r>
    </w:p>
    <w:p w:rsidR="0087730D" w:rsidRPr="00105798" w:rsidRDefault="0087730D" w:rsidP="00105798">
      <w:pPr>
        <w:pStyle w:val="NormalWeb"/>
        <w:spacing w:line="276" w:lineRule="auto"/>
        <w:rPr>
          <w:rFonts w:ascii="Century Gothic" w:hAnsi="Century Gothic" w:cs="Arial"/>
          <w:b/>
          <w:bCs/>
          <w:szCs w:val="22"/>
        </w:rPr>
      </w:pPr>
      <w:r w:rsidRPr="00105798">
        <w:rPr>
          <w:rFonts w:ascii="Century Gothic" w:hAnsi="Century Gothic" w:cs="Arial"/>
          <w:b/>
          <w:bCs/>
          <w:szCs w:val="22"/>
        </w:rPr>
        <w:t>EXERCISE OF HIGH COURT’S POWER TO TRANSFER SUITS.</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Power of High Court to transfer suit pending in a Court subordinate to it to another Court subordinate to a different High Court, is exercised in the ends of justice or to prevent abuse of process of Court.3</w:t>
      </w:r>
    </w:p>
    <w:p w:rsidR="0087730D" w:rsidRPr="00105798" w:rsidRDefault="0087730D" w:rsidP="00105798">
      <w:pPr>
        <w:pStyle w:val="NormalWeb"/>
        <w:spacing w:line="276" w:lineRule="auto"/>
        <w:rPr>
          <w:rFonts w:ascii="Century Gothic" w:hAnsi="Century Gothic" w:cs="Arial"/>
          <w:b/>
          <w:bCs/>
          <w:szCs w:val="22"/>
        </w:rPr>
      </w:pPr>
      <w:r w:rsidRPr="00105798">
        <w:rPr>
          <w:rFonts w:ascii="Century Gothic" w:hAnsi="Century Gothic" w:cs="Arial"/>
          <w:b/>
          <w:bCs/>
          <w:szCs w:val="22"/>
        </w:rPr>
        <w:t>NOTICE NECESSARY TO BE GIVEN TO ALL PARTIES.</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t>Notice should be given to all the parties impleaded in the suit, whether as plaintiff or as defendant and not merely to parties arrayed on the opposite side.4</w:t>
      </w:r>
    </w:p>
    <w:p w:rsidR="0087730D" w:rsidRPr="00105798" w:rsidRDefault="0087730D" w:rsidP="00105798">
      <w:pPr>
        <w:pStyle w:val="NormalWeb"/>
        <w:spacing w:line="276" w:lineRule="auto"/>
        <w:rPr>
          <w:rFonts w:ascii="Century Gothic" w:hAnsi="Century Gothic" w:cs="Arial"/>
          <w:b/>
          <w:bCs/>
          <w:szCs w:val="22"/>
        </w:rPr>
      </w:pPr>
      <w:r w:rsidRPr="00105798">
        <w:rPr>
          <w:rFonts w:ascii="Century Gothic" w:hAnsi="Century Gothic" w:cs="Arial"/>
          <w:b/>
          <w:bCs/>
          <w:szCs w:val="22"/>
        </w:rPr>
        <w:t>NOTICE TO BE GIVEN BEFORE FILING APPLICATION FOR TRANSFER.</w:t>
      </w:r>
    </w:p>
    <w:p w:rsidR="0087730D" w:rsidRPr="00105798" w:rsidRDefault="0087730D" w:rsidP="00105798">
      <w:pPr>
        <w:pStyle w:val="NormalWeb"/>
        <w:spacing w:line="276" w:lineRule="auto"/>
        <w:jc w:val="both"/>
        <w:rPr>
          <w:rFonts w:ascii="Century Gothic" w:hAnsi="Century Gothic" w:cs="Arial"/>
          <w:szCs w:val="22"/>
        </w:rPr>
      </w:pPr>
      <w:r w:rsidRPr="00105798">
        <w:rPr>
          <w:rFonts w:ascii="Century Gothic" w:hAnsi="Century Gothic" w:cs="Arial"/>
          <w:szCs w:val="22"/>
        </w:rPr>
        <w:lastRenderedPageBreak/>
        <w:t>Under the terms of this section, notice must be given of the application before it is made i.e., filed in the Court. However, it has been held that the defect of want of prior notice can be cured by giving notice by Court on the application of transfer moved by the applicant.5</w:t>
      </w:r>
    </w:p>
    <w:p w:rsidR="0087730D" w:rsidRPr="00105798" w:rsidRDefault="0087730D" w:rsidP="00105798">
      <w:pPr>
        <w:pStyle w:val="NormalWeb"/>
        <w:spacing w:line="276" w:lineRule="auto"/>
        <w:ind w:left="1440"/>
        <w:rPr>
          <w:rFonts w:ascii="Century Gothic" w:hAnsi="Century Gothic" w:cs="Arial"/>
          <w:szCs w:val="22"/>
        </w:rPr>
      </w:pPr>
      <w:r w:rsidRPr="00105798">
        <w:rPr>
          <w:rFonts w:ascii="Century Gothic" w:hAnsi="Century Gothic" w:cs="Arial"/>
          <w:szCs w:val="22"/>
        </w:rPr>
        <w:t xml:space="preserve">1. M/s. </w:t>
      </w:r>
      <w:proofErr w:type="spellStart"/>
      <w:r w:rsidRPr="00105798">
        <w:rPr>
          <w:rFonts w:ascii="Century Gothic" w:hAnsi="Century Gothic" w:cs="Arial"/>
          <w:szCs w:val="22"/>
        </w:rPr>
        <w:t>Shakuntala</w:t>
      </w:r>
      <w:proofErr w:type="spellEnd"/>
      <w:r w:rsidRPr="00105798">
        <w:rPr>
          <w:rFonts w:ascii="Century Gothic" w:hAnsi="Century Gothic" w:cs="Arial"/>
          <w:szCs w:val="22"/>
        </w:rPr>
        <w:t xml:space="preserve"> </w:t>
      </w:r>
      <w:proofErr w:type="spellStart"/>
      <w:r w:rsidRPr="00105798">
        <w:rPr>
          <w:rFonts w:ascii="Century Gothic" w:hAnsi="Century Gothic" w:cs="Arial"/>
          <w:szCs w:val="22"/>
        </w:rPr>
        <w:t>Modi</w:t>
      </w:r>
      <w:proofErr w:type="spellEnd"/>
      <w:r w:rsidRPr="00105798">
        <w:rPr>
          <w:rFonts w:ascii="Century Gothic" w:hAnsi="Century Gothic" w:cs="Arial"/>
          <w:szCs w:val="22"/>
        </w:rPr>
        <w:t xml:space="preserve"> v. Om </w:t>
      </w:r>
      <w:proofErr w:type="spellStart"/>
      <w:r w:rsidRPr="00105798">
        <w:rPr>
          <w:rFonts w:ascii="Century Gothic" w:hAnsi="Century Gothic" w:cs="Arial"/>
          <w:szCs w:val="22"/>
        </w:rPr>
        <w:t>Prakash</w:t>
      </w:r>
      <w:proofErr w:type="spellEnd"/>
      <w:r w:rsidRPr="00105798">
        <w:rPr>
          <w:rFonts w:ascii="Century Gothic" w:hAnsi="Century Gothic" w:cs="Arial"/>
          <w:szCs w:val="22"/>
        </w:rPr>
        <w:t xml:space="preserve"> </w:t>
      </w:r>
      <w:proofErr w:type="spellStart"/>
      <w:r w:rsidRPr="00105798">
        <w:rPr>
          <w:rFonts w:ascii="Century Gothic" w:hAnsi="Century Gothic" w:cs="Arial"/>
          <w:szCs w:val="22"/>
        </w:rPr>
        <w:t>Bharuka</w:t>
      </w:r>
      <w:proofErr w:type="spellEnd"/>
      <w:r w:rsidRPr="00105798">
        <w:rPr>
          <w:rFonts w:ascii="Century Gothic" w:hAnsi="Century Gothic" w:cs="Arial"/>
          <w:szCs w:val="22"/>
        </w:rPr>
        <w:t>, A.I.R. 1991 S.C. 1104.</w:t>
      </w:r>
    </w:p>
    <w:p w:rsidR="0087730D" w:rsidRPr="00105798" w:rsidRDefault="0087730D" w:rsidP="00105798">
      <w:pPr>
        <w:pStyle w:val="NormalWeb"/>
        <w:spacing w:line="276" w:lineRule="auto"/>
        <w:ind w:left="1440"/>
        <w:rPr>
          <w:rFonts w:ascii="Century Gothic" w:hAnsi="Century Gothic" w:cs="Arial"/>
          <w:szCs w:val="22"/>
        </w:rPr>
      </w:pPr>
      <w:proofErr w:type="gramStart"/>
      <w:r w:rsidRPr="00105798">
        <w:rPr>
          <w:rFonts w:ascii="Century Gothic" w:hAnsi="Century Gothic" w:cs="Arial"/>
          <w:szCs w:val="22"/>
        </w:rPr>
        <w:t xml:space="preserve">2. </w:t>
      </w:r>
      <w:proofErr w:type="spellStart"/>
      <w:r w:rsidRPr="00105798">
        <w:rPr>
          <w:rFonts w:ascii="Century Gothic" w:hAnsi="Century Gothic" w:cs="Arial"/>
          <w:szCs w:val="22"/>
        </w:rPr>
        <w:t>Sundardas</w:t>
      </w:r>
      <w:proofErr w:type="spellEnd"/>
      <w:r w:rsidRPr="00105798">
        <w:rPr>
          <w:rFonts w:ascii="Century Gothic" w:hAnsi="Century Gothic" w:cs="Arial"/>
          <w:szCs w:val="22"/>
        </w:rPr>
        <w:t xml:space="preserve"> </w:t>
      </w:r>
      <w:proofErr w:type="spellStart"/>
      <w:r w:rsidRPr="00105798">
        <w:rPr>
          <w:rFonts w:ascii="Century Gothic" w:hAnsi="Century Gothic" w:cs="Arial"/>
          <w:szCs w:val="22"/>
        </w:rPr>
        <w:t>Tharersay</w:t>
      </w:r>
      <w:proofErr w:type="spellEnd"/>
      <w:r w:rsidRPr="00105798">
        <w:rPr>
          <w:rFonts w:ascii="Century Gothic" w:hAnsi="Century Gothic" w:cs="Arial"/>
          <w:szCs w:val="22"/>
        </w:rPr>
        <w:t xml:space="preserve"> &amp; Bros. v.</w:t>
      </w:r>
      <w:proofErr w:type="gramEnd"/>
      <w:r w:rsidRPr="00105798">
        <w:rPr>
          <w:rFonts w:ascii="Century Gothic" w:hAnsi="Century Gothic" w:cs="Arial"/>
          <w:szCs w:val="22"/>
        </w:rPr>
        <w:t xml:space="preserve"> The Commercial Mills Co. Ltd., A.I.R. 1971 Cal. 398.</w:t>
      </w:r>
    </w:p>
    <w:p w:rsidR="0087730D" w:rsidRPr="00105798" w:rsidRDefault="0087730D" w:rsidP="00105798">
      <w:pPr>
        <w:pStyle w:val="NormalWeb"/>
        <w:spacing w:line="276" w:lineRule="auto"/>
        <w:ind w:left="1440"/>
        <w:rPr>
          <w:rFonts w:ascii="Century Gothic" w:hAnsi="Century Gothic" w:cs="Arial"/>
          <w:szCs w:val="22"/>
        </w:rPr>
      </w:pPr>
      <w:r w:rsidRPr="00105798">
        <w:rPr>
          <w:rFonts w:ascii="Century Gothic" w:hAnsi="Century Gothic" w:cs="Arial"/>
          <w:szCs w:val="22"/>
        </w:rPr>
        <w:t xml:space="preserve">3. A.I.R. 1976 </w:t>
      </w:r>
      <w:proofErr w:type="spellStart"/>
      <w:r w:rsidRPr="00105798">
        <w:rPr>
          <w:rFonts w:ascii="Century Gothic" w:hAnsi="Century Gothic" w:cs="Arial"/>
          <w:szCs w:val="22"/>
        </w:rPr>
        <w:t>Punj</w:t>
      </w:r>
      <w:proofErr w:type="spellEnd"/>
      <w:r w:rsidRPr="00105798">
        <w:rPr>
          <w:rFonts w:ascii="Century Gothic" w:hAnsi="Century Gothic" w:cs="Arial"/>
          <w:szCs w:val="22"/>
        </w:rPr>
        <w:t xml:space="preserve">. </w:t>
      </w:r>
      <w:proofErr w:type="gramStart"/>
      <w:r w:rsidRPr="00105798">
        <w:rPr>
          <w:rFonts w:ascii="Century Gothic" w:hAnsi="Century Gothic" w:cs="Arial"/>
          <w:szCs w:val="22"/>
        </w:rPr>
        <w:t xml:space="preserve">321: 78 </w:t>
      </w:r>
      <w:proofErr w:type="spellStart"/>
      <w:r w:rsidRPr="00105798">
        <w:rPr>
          <w:rFonts w:ascii="Century Gothic" w:hAnsi="Century Gothic" w:cs="Arial"/>
          <w:szCs w:val="22"/>
        </w:rPr>
        <w:t>Punj</w:t>
      </w:r>
      <w:proofErr w:type="spellEnd"/>
      <w:r w:rsidRPr="00105798">
        <w:rPr>
          <w:rFonts w:ascii="Century Gothic" w:hAnsi="Century Gothic" w:cs="Arial"/>
          <w:szCs w:val="22"/>
        </w:rPr>
        <w:t>.</w:t>
      </w:r>
      <w:proofErr w:type="gramEnd"/>
      <w:r w:rsidRPr="00105798">
        <w:rPr>
          <w:rFonts w:ascii="Century Gothic" w:hAnsi="Century Gothic" w:cs="Arial"/>
          <w:szCs w:val="22"/>
        </w:rPr>
        <w:t xml:space="preserve"> </w:t>
      </w:r>
      <w:proofErr w:type="gramStart"/>
      <w:r w:rsidRPr="00105798">
        <w:rPr>
          <w:rFonts w:ascii="Century Gothic" w:hAnsi="Century Gothic" w:cs="Arial"/>
          <w:szCs w:val="22"/>
        </w:rPr>
        <w:t>L.R. 638.</w:t>
      </w:r>
      <w:proofErr w:type="gramEnd"/>
    </w:p>
    <w:p w:rsidR="0087730D" w:rsidRPr="00105798" w:rsidRDefault="0087730D" w:rsidP="00105798">
      <w:pPr>
        <w:pStyle w:val="NormalWeb"/>
        <w:spacing w:line="276" w:lineRule="auto"/>
        <w:ind w:left="1440"/>
        <w:rPr>
          <w:rFonts w:ascii="Century Gothic" w:hAnsi="Century Gothic" w:cs="Arial"/>
          <w:szCs w:val="22"/>
        </w:rPr>
      </w:pPr>
      <w:proofErr w:type="gramStart"/>
      <w:r w:rsidRPr="00105798">
        <w:rPr>
          <w:rFonts w:ascii="Century Gothic" w:hAnsi="Century Gothic" w:cs="Arial"/>
          <w:szCs w:val="22"/>
        </w:rPr>
        <w:t xml:space="preserve">4. </w:t>
      </w:r>
      <w:proofErr w:type="spellStart"/>
      <w:r w:rsidRPr="00105798">
        <w:rPr>
          <w:rFonts w:ascii="Century Gothic" w:hAnsi="Century Gothic" w:cs="Arial"/>
          <w:szCs w:val="22"/>
        </w:rPr>
        <w:t>Vijaya</w:t>
      </w:r>
      <w:proofErr w:type="spellEnd"/>
      <w:r w:rsidRPr="00105798">
        <w:rPr>
          <w:rFonts w:ascii="Century Gothic" w:hAnsi="Century Gothic" w:cs="Arial"/>
          <w:szCs w:val="22"/>
        </w:rPr>
        <w:t xml:space="preserve"> Ram v. Dr. </w:t>
      </w:r>
      <w:proofErr w:type="spellStart"/>
      <w:r w:rsidRPr="00105798">
        <w:rPr>
          <w:rFonts w:ascii="Century Gothic" w:hAnsi="Century Gothic" w:cs="Arial"/>
          <w:szCs w:val="22"/>
        </w:rPr>
        <w:t>Vijaya</w:t>
      </w:r>
      <w:proofErr w:type="spellEnd"/>
      <w:r w:rsidRPr="00105798">
        <w:rPr>
          <w:rFonts w:ascii="Century Gothic" w:hAnsi="Century Gothic" w:cs="Arial"/>
          <w:szCs w:val="22"/>
        </w:rPr>
        <w:t xml:space="preserve"> </w:t>
      </w:r>
      <w:proofErr w:type="spellStart"/>
      <w:r w:rsidRPr="00105798">
        <w:rPr>
          <w:rFonts w:ascii="Century Gothic" w:hAnsi="Century Gothic" w:cs="Arial"/>
          <w:szCs w:val="22"/>
        </w:rPr>
        <w:t>Anand</w:t>
      </w:r>
      <w:proofErr w:type="spellEnd"/>
      <w:r w:rsidRPr="00105798">
        <w:rPr>
          <w:rFonts w:ascii="Century Gothic" w:hAnsi="Century Gothic" w:cs="Arial"/>
          <w:szCs w:val="22"/>
        </w:rPr>
        <w:t>, A.I.R. 1953 All.</w:t>
      </w:r>
      <w:proofErr w:type="gramEnd"/>
      <w:r w:rsidRPr="00105798">
        <w:rPr>
          <w:rFonts w:ascii="Century Gothic" w:hAnsi="Century Gothic" w:cs="Arial"/>
          <w:szCs w:val="22"/>
        </w:rPr>
        <w:t xml:space="preserve"> 750.</w:t>
      </w:r>
    </w:p>
    <w:p w:rsidR="0087730D" w:rsidRPr="00105798" w:rsidRDefault="0087730D" w:rsidP="00105798">
      <w:pPr>
        <w:pStyle w:val="NormalWeb"/>
        <w:spacing w:line="276" w:lineRule="auto"/>
        <w:ind w:left="1440"/>
        <w:rPr>
          <w:rFonts w:ascii="Century Gothic" w:hAnsi="Century Gothic" w:cs="Arial"/>
          <w:szCs w:val="22"/>
        </w:rPr>
      </w:pPr>
      <w:r w:rsidRPr="00105798">
        <w:rPr>
          <w:rFonts w:ascii="Century Gothic" w:hAnsi="Century Gothic" w:cs="Arial"/>
          <w:szCs w:val="22"/>
        </w:rPr>
        <w:t xml:space="preserve">5. </w:t>
      </w:r>
      <w:proofErr w:type="spellStart"/>
      <w:r w:rsidRPr="00105798">
        <w:rPr>
          <w:rFonts w:ascii="Century Gothic" w:hAnsi="Century Gothic" w:cs="Arial"/>
          <w:szCs w:val="22"/>
        </w:rPr>
        <w:t>Basanti</w:t>
      </w:r>
      <w:proofErr w:type="spellEnd"/>
      <w:r w:rsidRPr="00105798">
        <w:rPr>
          <w:rFonts w:ascii="Century Gothic" w:hAnsi="Century Gothic" w:cs="Arial"/>
          <w:szCs w:val="22"/>
        </w:rPr>
        <w:t xml:space="preserve"> v. </w:t>
      </w:r>
      <w:proofErr w:type="spellStart"/>
      <w:r w:rsidRPr="00105798">
        <w:rPr>
          <w:rFonts w:ascii="Century Gothic" w:hAnsi="Century Gothic" w:cs="Arial"/>
          <w:szCs w:val="22"/>
        </w:rPr>
        <w:t>Sahodra</w:t>
      </w:r>
      <w:proofErr w:type="spellEnd"/>
      <w:r w:rsidRPr="00105798">
        <w:rPr>
          <w:rFonts w:ascii="Century Gothic" w:hAnsi="Century Gothic" w:cs="Arial"/>
          <w:szCs w:val="22"/>
        </w:rPr>
        <w:t xml:space="preserve">, 1955 </w:t>
      </w:r>
      <w:proofErr w:type="spellStart"/>
      <w:r w:rsidRPr="00105798">
        <w:rPr>
          <w:rFonts w:ascii="Century Gothic" w:hAnsi="Century Gothic" w:cs="Arial"/>
          <w:szCs w:val="22"/>
        </w:rPr>
        <w:t>All.L.J</w:t>
      </w:r>
      <w:proofErr w:type="spellEnd"/>
      <w:r w:rsidRPr="00105798">
        <w:rPr>
          <w:rFonts w:ascii="Century Gothic" w:hAnsi="Century Gothic" w:cs="Arial"/>
          <w:szCs w:val="22"/>
        </w:rPr>
        <w:t>. 1093: A.I.R. 1955 All. 979.</w:t>
      </w:r>
    </w:p>
    <w:p w:rsidR="0087730D" w:rsidRPr="00105798" w:rsidRDefault="0087730D" w:rsidP="00105798">
      <w:pPr>
        <w:spacing w:line="276" w:lineRule="auto"/>
        <w:rPr>
          <w:rFonts w:ascii="Century Gothic" w:hAnsi="Century Gothic" w:cs="Arial"/>
          <w:szCs w:val="22"/>
        </w:rPr>
      </w:pPr>
    </w:p>
    <w:bookmarkEnd w:id="0"/>
    <w:p w:rsidR="0087730D" w:rsidRPr="00105798" w:rsidRDefault="0087730D" w:rsidP="00105798">
      <w:pPr>
        <w:spacing w:line="276" w:lineRule="auto"/>
        <w:rPr>
          <w:rFonts w:ascii="Century Gothic" w:hAnsi="Century Gothic" w:cs="Arial"/>
          <w:szCs w:val="22"/>
        </w:rPr>
      </w:pPr>
    </w:p>
    <w:sectPr w:rsidR="0087730D" w:rsidRPr="0010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B1"/>
    <w:rsid w:val="00105798"/>
    <w:rsid w:val="00186CB1"/>
    <w:rsid w:val="002C2B0D"/>
    <w:rsid w:val="007F7CBF"/>
    <w:rsid w:val="0087730D"/>
    <w:rsid w:val="00927DA6"/>
    <w:rsid w:val="00A5180D"/>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0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73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0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7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IN%20SUPPORT%20OF%20TH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IN SUPPORT OF THE APPLICATION</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2024-06-15T10:36:00Z</dcterms:created>
  <dcterms:modified xsi:type="dcterms:W3CDTF">2024-06-15T10:36:00Z</dcterms:modified>
</cp:coreProperties>
</file>