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F2" w:rsidRPr="00464303" w:rsidRDefault="00E221F2" w:rsidP="00464303">
      <w:pPr>
        <w:pStyle w:val="NormalWeb"/>
        <w:spacing w:line="276" w:lineRule="auto"/>
        <w:jc w:val="center"/>
        <w:rPr>
          <w:rFonts w:ascii="Century Gothic" w:hAnsi="Century Gothic" w:cs="Arial"/>
          <w:b/>
          <w:bCs/>
        </w:rPr>
      </w:pPr>
      <w:bookmarkStart w:id="0" w:name="_GoBack"/>
      <w:r w:rsidRPr="00464303">
        <w:rPr>
          <w:rFonts w:ascii="Century Gothic" w:hAnsi="Century Gothic" w:cs="Arial"/>
          <w:b/>
          <w:bCs/>
        </w:rPr>
        <w:t>ANOTHER FORM OF CAVEAT</w:t>
      </w:r>
    </w:p>
    <w:p w:rsidR="00E221F2" w:rsidRPr="00464303" w:rsidRDefault="00E221F2" w:rsidP="00464303">
      <w:pPr>
        <w:pStyle w:val="NormalWeb"/>
        <w:spacing w:line="276" w:lineRule="auto"/>
        <w:rPr>
          <w:rFonts w:ascii="Century Gothic" w:hAnsi="Century Gothic" w:cs="Arial"/>
        </w:rPr>
      </w:pPr>
      <w:r w:rsidRPr="00464303">
        <w:rPr>
          <w:rFonts w:ascii="Century Gothic" w:hAnsi="Century Gothic" w:cs="Arial"/>
        </w:rPr>
        <w:t>IN THE COURT OF THE....................</w:t>
      </w:r>
    </w:p>
    <w:p w:rsidR="00E221F2" w:rsidRPr="00464303" w:rsidRDefault="00E221F2" w:rsidP="00464303">
      <w:pPr>
        <w:pStyle w:val="NormalWeb"/>
        <w:spacing w:line="276" w:lineRule="auto"/>
        <w:rPr>
          <w:rFonts w:ascii="Century Gothic" w:hAnsi="Century Gothic" w:cs="Arial"/>
        </w:rPr>
      </w:pPr>
      <w:proofErr w:type="gramStart"/>
      <w:r w:rsidRPr="00464303">
        <w:rPr>
          <w:rFonts w:ascii="Century Gothic" w:hAnsi="Century Gothic" w:cs="Arial"/>
        </w:rPr>
        <w:t>Civil Original/appellate/</w:t>
      </w:r>
      <w:proofErr w:type="spellStart"/>
      <w:r w:rsidRPr="00464303">
        <w:rPr>
          <w:rFonts w:ascii="Century Gothic" w:hAnsi="Century Gothic" w:cs="Arial"/>
        </w:rPr>
        <w:t>revisional</w:t>
      </w:r>
      <w:proofErr w:type="spellEnd"/>
      <w:r w:rsidRPr="00464303">
        <w:rPr>
          <w:rFonts w:ascii="Century Gothic" w:hAnsi="Century Gothic" w:cs="Arial"/>
        </w:rPr>
        <w:t xml:space="preserve"> Jurisdiction.</w:t>
      </w:r>
      <w:proofErr w:type="gramEnd"/>
    </w:p>
    <w:p w:rsidR="00E221F2" w:rsidRPr="00464303" w:rsidRDefault="00E221F2" w:rsidP="00464303">
      <w:pPr>
        <w:pStyle w:val="NormalWeb"/>
        <w:spacing w:line="276" w:lineRule="auto"/>
        <w:rPr>
          <w:rFonts w:ascii="Century Gothic" w:hAnsi="Century Gothic" w:cs="Arial"/>
        </w:rPr>
      </w:pPr>
      <w:r w:rsidRPr="00464303">
        <w:rPr>
          <w:rFonts w:ascii="Century Gothic" w:hAnsi="Century Gothic" w:cs="Arial"/>
        </w:rPr>
        <w:t>Suit/Appeal/Revision/Misc. Application/Petition/Execution</w:t>
      </w:r>
    </w:p>
    <w:p w:rsidR="00E221F2" w:rsidRPr="00464303" w:rsidRDefault="00E221F2" w:rsidP="00464303">
      <w:pPr>
        <w:pStyle w:val="NormalWeb"/>
        <w:spacing w:line="276" w:lineRule="auto"/>
        <w:rPr>
          <w:rFonts w:ascii="Century Gothic" w:hAnsi="Century Gothic" w:cs="Arial"/>
        </w:rPr>
      </w:pPr>
      <w:r w:rsidRPr="00464303">
        <w:rPr>
          <w:rFonts w:ascii="Century Gothic" w:hAnsi="Century Gothic" w:cs="Arial"/>
        </w:rPr>
        <w:t xml:space="preserve">................... No..................... </w:t>
      </w:r>
      <w:proofErr w:type="gramStart"/>
      <w:r w:rsidRPr="00464303">
        <w:rPr>
          <w:rFonts w:ascii="Century Gothic" w:hAnsi="Century Gothic" w:cs="Arial"/>
        </w:rPr>
        <w:t>of</w:t>
      </w:r>
      <w:proofErr w:type="gramEnd"/>
      <w:r w:rsidRPr="00464303">
        <w:rPr>
          <w:rFonts w:ascii="Century Gothic" w:hAnsi="Century Gothic" w:cs="Arial"/>
        </w:rPr>
        <w:t xml:space="preserve"> 19....................</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Plaintiff(s) </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Appellant(s) </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Applicant(s) </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Petitioner(s)</w:t>
      </w:r>
    </w:p>
    <w:p w:rsidR="00E221F2" w:rsidRPr="00464303" w:rsidRDefault="00E221F2" w:rsidP="00464303">
      <w:pPr>
        <w:pStyle w:val="NormalWeb"/>
        <w:spacing w:line="276" w:lineRule="auto"/>
        <w:jc w:val="center"/>
        <w:rPr>
          <w:rFonts w:ascii="Century Gothic" w:hAnsi="Century Gothic" w:cs="Arial"/>
          <w:i/>
          <w:iCs/>
        </w:rPr>
      </w:pPr>
      <w:proofErr w:type="gramStart"/>
      <w:r w:rsidRPr="00464303">
        <w:rPr>
          <w:rFonts w:ascii="Century Gothic" w:hAnsi="Century Gothic" w:cs="Arial"/>
          <w:i/>
          <w:iCs/>
        </w:rPr>
        <w:t>versus</w:t>
      </w:r>
      <w:proofErr w:type="gramEnd"/>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Defendant(s) </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Respondent(s)</w:t>
      </w:r>
    </w:p>
    <w:p w:rsidR="00E221F2" w:rsidRPr="00464303" w:rsidRDefault="00E221F2" w:rsidP="00464303">
      <w:pPr>
        <w:pStyle w:val="NormalWeb"/>
        <w:spacing w:line="276" w:lineRule="auto"/>
        <w:jc w:val="center"/>
        <w:rPr>
          <w:rFonts w:ascii="Century Gothic" w:hAnsi="Century Gothic" w:cs="Arial"/>
          <w:b/>
          <w:bCs/>
        </w:rPr>
      </w:pPr>
      <w:r w:rsidRPr="00464303">
        <w:rPr>
          <w:rFonts w:ascii="Century Gothic" w:hAnsi="Century Gothic" w:cs="Arial"/>
          <w:b/>
          <w:bCs/>
        </w:rPr>
        <w:t>CAVEAT</w:t>
      </w:r>
    </w:p>
    <w:p w:rsidR="00E221F2" w:rsidRPr="00464303" w:rsidRDefault="00E221F2" w:rsidP="00464303">
      <w:pPr>
        <w:pStyle w:val="NormalWeb"/>
        <w:spacing w:line="276" w:lineRule="auto"/>
        <w:rPr>
          <w:rFonts w:ascii="Century Gothic" w:hAnsi="Century Gothic" w:cs="Arial"/>
        </w:rPr>
      </w:pPr>
      <w:r w:rsidRPr="00464303">
        <w:rPr>
          <w:rFonts w:ascii="Century Gothic" w:hAnsi="Century Gothic" w:cs="Arial"/>
        </w:rPr>
        <w:t>Sir,</w:t>
      </w:r>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 xml:space="preserve">May your </w:t>
      </w:r>
      <w:proofErr w:type="spellStart"/>
      <w:r w:rsidRPr="00464303">
        <w:rPr>
          <w:rFonts w:ascii="Century Gothic" w:hAnsi="Century Gothic" w:cs="Arial"/>
        </w:rPr>
        <w:t>Honour</w:t>
      </w:r>
      <w:proofErr w:type="spellEnd"/>
      <w:r w:rsidRPr="00464303">
        <w:rPr>
          <w:rFonts w:ascii="Century Gothic" w:hAnsi="Century Gothic" w:cs="Arial"/>
        </w:rPr>
        <w:t xml:space="preserve"> please, let nothing be done in the suit/appeal/Revision/ Execution/Petition aforesaid, without notice to me/</w:t>
      </w:r>
      <w:proofErr w:type="gramStart"/>
      <w:r w:rsidRPr="00464303">
        <w:rPr>
          <w:rFonts w:ascii="Century Gothic" w:hAnsi="Century Gothic" w:cs="Arial"/>
        </w:rPr>
        <w:t>us.</w:t>
      </w:r>
      <w:proofErr w:type="gramEnd"/>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 xml:space="preserve">Dated </w:t>
      </w:r>
      <w:proofErr w:type="gramStart"/>
      <w:r w:rsidRPr="00464303">
        <w:rPr>
          <w:rFonts w:ascii="Century Gothic" w:hAnsi="Century Gothic" w:cs="Arial"/>
        </w:rPr>
        <w:t>this the</w:t>
      </w:r>
      <w:proofErr w:type="gramEnd"/>
      <w:r w:rsidRPr="00464303">
        <w:rPr>
          <w:rFonts w:ascii="Century Gothic" w:hAnsi="Century Gothic" w:cs="Arial"/>
        </w:rPr>
        <w:t xml:space="preserve">.................... </w:t>
      </w:r>
      <w:proofErr w:type="gramStart"/>
      <w:r w:rsidRPr="00464303">
        <w:rPr>
          <w:rFonts w:ascii="Century Gothic" w:hAnsi="Century Gothic" w:cs="Arial"/>
        </w:rPr>
        <w:t>day</w:t>
      </w:r>
      <w:proofErr w:type="gramEnd"/>
      <w:r w:rsidRPr="00464303">
        <w:rPr>
          <w:rFonts w:ascii="Century Gothic" w:hAnsi="Century Gothic" w:cs="Arial"/>
        </w:rPr>
        <w:t xml:space="preserve"> of.................... 19....................</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(Advocate(s) </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For Defendant(s) </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Respondent(s) </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 xml:space="preserve">Third Party </w:t>
      </w:r>
    </w:p>
    <w:p w:rsidR="00E221F2" w:rsidRPr="00464303" w:rsidRDefault="00E221F2" w:rsidP="00464303">
      <w:pPr>
        <w:pStyle w:val="NormalWeb"/>
        <w:spacing w:line="276" w:lineRule="auto"/>
        <w:jc w:val="right"/>
        <w:rPr>
          <w:rFonts w:ascii="Century Gothic" w:hAnsi="Century Gothic" w:cs="Arial"/>
        </w:rPr>
      </w:pPr>
      <w:proofErr w:type="spellStart"/>
      <w:r w:rsidRPr="00464303">
        <w:rPr>
          <w:rFonts w:ascii="Century Gothic" w:hAnsi="Century Gothic" w:cs="Arial"/>
        </w:rPr>
        <w:lastRenderedPageBreak/>
        <w:t>Intervenor</w:t>
      </w:r>
      <w:proofErr w:type="spellEnd"/>
      <w:r w:rsidRPr="00464303">
        <w:rPr>
          <w:rFonts w:ascii="Century Gothic" w:hAnsi="Century Gothic" w:cs="Arial"/>
        </w:rPr>
        <w:t xml:space="preserve">(s) </w:t>
      </w:r>
    </w:p>
    <w:p w:rsidR="00E221F2" w:rsidRPr="00464303" w:rsidRDefault="00E221F2" w:rsidP="00464303">
      <w:pPr>
        <w:pStyle w:val="NormalWeb"/>
        <w:spacing w:line="276" w:lineRule="auto"/>
        <w:rPr>
          <w:rFonts w:ascii="Century Gothic" w:hAnsi="Century Gothic" w:cs="Arial"/>
        </w:rPr>
      </w:pPr>
      <w:r w:rsidRPr="00464303">
        <w:rPr>
          <w:rFonts w:ascii="Century Gothic" w:hAnsi="Century Gothic" w:cs="Arial"/>
        </w:rPr>
        <w:t>Any information regarding the matter may be sent to me/us at the following address</w:t>
      </w:r>
    </w:p>
    <w:p w:rsidR="00E221F2" w:rsidRPr="00464303" w:rsidRDefault="00E221F2" w:rsidP="00464303">
      <w:pPr>
        <w:pStyle w:val="NormalWeb"/>
        <w:spacing w:line="276" w:lineRule="auto"/>
        <w:jc w:val="right"/>
        <w:rPr>
          <w:rFonts w:ascii="Century Gothic" w:hAnsi="Century Gothic" w:cs="Arial"/>
        </w:rPr>
      </w:pPr>
      <w:r w:rsidRPr="00464303">
        <w:rPr>
          <w:rFonts w:ascii="Century Gothic" w:hAnsi="Century Gothic" w:cs="Arial"/>
        </w:rPr>
        <w:t>Advocate(s)</w:t>
      </w:r>
    </w:p>
    <w:p w:rsidR="00E221F2" w:rsidRPr="00464303" w:rsidRDefault="00E221F2" w:rsidP="00464303">
      <w:pPr>
        <w:pStyle w:val="NormalWeb"/>
        <w:spacing w:line="276" w:lineRule="auto"/>
        <w:jc w:val="center"/>
        <w:rPr>
          <w:rFonts w:ascii="Century Gothic" w:hAnsi="Century Gothic" w:cs="Arial"/>
          <w:b/>
          <w:bCs/>
        </w:rPr>
      </w:pPr>
      <w:r w:rsidRPr="00464303">
        <w:rPr>
          <w:rFonts w:ascii="Century Gothic" w:hAnsi="Century Gothic" w:cs="Arial"/>
          <w:b/>
          <w:bCs/>
        </w:rPr>
        <w:t xml:space="preserve">CASE LAW </w:t>
      </w:r>
    </w:p>
    <w:p w:rsidR="00E221F2" w:rsidRPr="00464303" w:rsidRDefault="00E221F2" w:rsidP="00464303">
      <w:pPr>
        <w:pStyle w:val="NormalWeb"/>
        <w:spacing w:line="276" w:lineRule="auto"/>
        <w:jc w:val="both"/>
        <w:rPr>
          <w:rFonts w:ascii="Century Gothic" w:hAnsi="Century Gothic" w:cs="Arial"/>
          <w:b/>
          <w:bCs/>
          <w:i/>
          <w:iCs/>
        </w:rPr>
      </w:pPr>
      <w:r w:rsidRPr="00464303">
        <w:rPr>
          <w:rFonts w:ascii="Century Gothic" w:hAnsi="Century Gothic" w:cs="Arial"/>
          <w:b/>
          <w:bCs/>
          <w:i/>
          <w:iCs/>
        </w:rPr>
        <w:t>Section 148A</w:t>
      </w:r>
    </w:p>
    <w:p w:rsidR="00E221F2" w:rsidRPr="00464303" w:rsidRDefault="00E221F2" w:rsidP="00464303">
      <w:pPr>
        <w:pStyle w:val="NormalWeb"/>
        <w:spacing w:line="276" w:lineRule="auto"/>
        <w:jc w:val="both"/>
        <w:rPr>
          <w:rFonts w:ascii="Century Gothic" w:hAnsi="Century Gothic" w:cs="Arial"/>
          <w:b/>
          <w:bCs/>
        </w:rPr>
      </w:pPr>
      <w:r w:rsidRPr="00464303">
        <w:rPr>
          <w:rFonts w:ascii="Century Gothic" w:hAnsi="Century Gothic" w:cs="Arial"/>
          <w:b/>
          <w:bCs/>
        </w:rPr>
        <w:t>LIMITATION FOR FILING CAVEAT</w:t>
      </w:r>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The maximum limit of 90 days is prescribed by sub-cl. (5) of Section 148A, C. P. C. and if it is filed earlier, it must be renewed1.</w:t>
      </w:r>
    </w:p>
    <w:p w:rsidR="00E221F2" w:rsidRPr="00464303" w:rsidRDefault="00E221F2" w:rsidP="00464303">
      <w:pPr>
        <w:pStyle w:val="NormalWeb"/>
        <w:spacing w:line="276" w:lineRule="auto"/>
        <w:jc w:val="both"/>
        <w:rPr>
          <w:rFonts w:ascii="Century Gothic" w:hAnsi="Century Gothic" w:cs="Arial"/>
          <w:b/>
          <w:bCs/>
        </w:rPr>
      </w:pPr>
      <w:r w:rsidRPr="00464303">
        <w:rPr>
          <w:rFonts w:ascii="Century Gothic" w:hAnsi="Century Gothic" w:cs="Arial"/>
          <w:b/>
          <w:bCs/>
        </w:rPr>
        <w:t>CONDITIONS FOR MAKING THE CAVEAT EFFECTIVE</w:t>
      </w:r>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In order to make the caveat effective the analogy of this section can be applied. A caveat may be filed even before the date of pronouncement of judgment in an extreme case where no dates for orders or judgments are fixed and the order is of administrative nature. In other cases as far as possible, caveats should be entertained after judgments are pronounced. The name of the Court or Authority should also be mentioned2.</w:t>
      </w:r>
    </w:p>
    <w:p w:rsidR="00E221F2" w:rsidRPr="00464303" w:rsidRDefault="00E221F2" w:rsidP="00464303">
      <w:pPr>
        <w:pStyle w:val="NormalWeb"/>
        <w:spacing w:line="276" w:lineRule="auto"/>
        <w:jc w:val="both"/>
        <w:rPr>
          <w:rFonts w:ascii="Century Gothic" w:hAnsi="Century Gothic" w:cs="Arial"/>
          <w:b/>
          <w:bCs/>
        </w:rPr>
      </w:pPr>
      <w:proofErr w:type="gramStart"/>
      <w:r w:rsidRPr="00464303">
        <w:rPr>
          <w:rFonts w:ascii="Century Gothic" w:hAnsi="Century Gothic" w:cs="Arial"/>
          <w:b/>
          <w:bCs/>
        </w:rPr>
        <w:t>NECESSITY TO INFORM THE PERSON LIKELY TO FILE THE CASE.</w:t>
      </w:r>
      <w:proofErr w:type="gramEnd"/>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 xml:space="preserve">It is also necessary that the </w:t>
      </w:r>
      <w:proofErr w:type="spellStart"/>
      <w:r w:rsidRPr="00464303">
        <w:rPr>
          <w:rFonts w:ascii="Century Gothic" w:hAnsi="Century Gothic" w:cs="Arial"/>
        </w:rPr>
        <w:t>caveator</w:t>
      </w:r>
      <w:proofErr w:type="spellEnd"/>
      <w:r w:rsidRPr="00464303">
        <w:rPr>
          <w:rFonts w:ascii="Century Gothic" w:hAnsi="Century Gothic" w:cs="Arial"/>
        </w:rPr>
        <w:t xml:space="preserve"> should inform the person who is likely to file application or writ and such notice should be sent by registered post according to R. 159(3) of the High Court Rules read with S. 148A C. P. C.3</w:t>
      </w:r>
    </w:p>
    <w:p w:rsidR="00E221F2" w:rsidRPr="00464303" w:rsidRDefault="00E221F2" w:rsidP="00464303">
      <w:pPr>
        <w:pStyle w:val="NormalWeb"/>
        <w:spacing w:line="276" w:lineRule="auto"/>
        <w:jc w:val="both"/>
        <w:rPr>
          <w:rFonts w:ascii="Century Gothic" w:hAnsi="Century Gothic" w:cs="Arial"/>
          <w:b/>
          <w:bCs/>
        </w:rPr>
      </w:pPr>
      <w:r w:rsidRPr="00464303">
        <w:rPr>
          <w:rFonts w:ascii="Century Gothic" w:hAnsi="Century Gothic" w:cs="Arial"/>
          <w:b/>
          <w:bCs/>
        </w:rPr>
        <w:t>NECESSITY OF SERVICE OF APPLICATION ON CAVEATOR</w:t>
      </w:r>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 xml:space="preserve">Where once a caveat is filed, it is a condition precedent for passing an interim order to serve a notice of the application on the </w:t>
      </w:r>
      <w:proofErr w:type="spellStart"/>
      <w:r w:rsidRPr="00464303">
        <w:rPr>
          <w:rFonts w:ascii="Century Gothic" w:hAnsi="Century Gothic" w:cs="Arial"/>
        </w:rPr>
        <w:t>caveator</w:t>
      </w:r>
      <w:proofErr w:type="spellEnd"/>
      <w:r w:rsidRPr="00464303">
        <w:rPr>
          <w:rFonts w:ascii="Century Gothic" w:hAnsi="Century Gothic" w:cs="Arial"/>
        </w:rPr>
        <w:t xml:space="preserve"> who is going to be affected by the interim order4.</w:t>
      </w:r>
    </w:p>
    <w:p w:rsidR="00E221F2" w:rsidRPr="00464303" w:rsidRDefault="00E221F2" w:rsidP="00464303">
      <w:pPr>
        <w:pStyle w:val="NormalWeb"/>
        <w:spacing w:line="276" w:lineRule="auto"/>
        <w:jc w:val="both"/>
        <w:rPr>
          <w:rFonts w:ascii="Century Gothic" w:hAnsi="Century Gothic" w:cs="Arial"/>
          <w:b/>
          <w:bCs/>
        </w:rPr>
      </w:pPr>
      <w:r w:rsidRPr="00464303">
        <w:rPr>
          <w:rFonts w:ascii="Century Gothic" w:hAnsi="Century Gothic" w:cs="Arial"/>
          <w:b/>
          <w:bCs/>
        </w:rPr>
        <w:t>LIMITATION FOR FILING CAVEAT</w:t>
      </w:r>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lastRenderedPageBreak/>
        <w:t>The maximum limit of 90 days is prescribed by sub-cl. (5) of Section 148A, C. P. C. and if it is filed earlier, it must be renewed5.</w:t>
      </w:r>
    </w:p>
    <w:p w:rsidR="00E221F2" w:rsidRPr="00464303" w:rsidRDefault="00E221F2" w:rsidP="00464303">
      <w:pPr>
        <w:pStyle w:val="NormalWeb"/>
        <w:spacing w:line="276" w:lineRule="auto"/>
        <w:jc w:val="both"/>
        <w:rPr>
          <w:rFonts w:ascii="Century Gothic" w:hAnsi="Century Gothic" w:cs="Arial"/>
          <w:b/>
          <w:bCs/>
        </w:rPr>
      </w:pPr>
      <w:proofErr w:type="gramStart"/>
      <w:r w:rsidRPr="00464303">
        <w:rPr>
          <w:rFonts w:ascii="Century Gothic" w:hAnsi="Century Gothic" w:cs="Arial"/>
          <w:b/>
          <w:bCs/>
        </w:rPr>
        <w:t>CONDITIONS FOR MAKING THE CAVEAT EFFECTIVE.</w:t>
      </w:r>
      <w:proofErr w:type="gramEnd"/>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In order to make the caveat effective the analogy of this section can be applied. A caveat may be filed even before the date of pronouncement of judgment in an extreme case where no dates for orders or judgments are fixed and the order is of administrative nature. In other cases as far as possible, caveats should be entertained after judgments are pronounced. The name of the Court or Authority should also be mentioned6.</w:t>
      </w:r>
    </w:p>
    <w:p w:rsidR="00E221F2" w:rsidRPr="00464303" w:rsidRDefault="00E221F2" w:rsidP="00464303">
      <w:pPr>
        <w:pStyle w:val="NormalWeb"/>
        <w:spacing w:line="276" w:lineRule="auto"/>
        <w:jc w:val="both"/>
        <w:rPr>
          <w:rFonts w:ascii="Century Gothic" w:hAnsi="Century Gothic" w:cs="Arial"/>
          <w:b/>
          <w:bCs/>
        </w:rPr>
      </w:pPr>
      <w:proofErr w:type="gramStart"/>
      <w:r w:rsidRPr="00464303">
        <w:rPr>
          <w:rFonts w:ascii="Century Gothic" w:hAnsi="Century Gothic" w:cs="Arial"/>
          <w:b/>
          <w:bCs/>
        </w:rPr>
        <w:t>NECESSARY TO INFORM THE PERSON LIKELY TO FILE THE CASE.</w:t>
      </w:r>
      <w:proofErr w:type="gramEnd"/>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 xml:space="preserve">It is also necessary that the </w:t>
      </w:r>
      <w:proofErr w:type="spellStart"/>
      <w:r w:rsidRPr="00464303">
        <w:rPr>
          <w:rFonts w:ascii="Century Gothic" w:hAnsi="Century Gothic" w:cs="Arial"/>
        </w:rPr>
        <w:t>caveator</w:t>
      </w:r>
      <w:proofErr w:type="spellEnd"/>
      <w:r w:rsidRPr="00464303">
        <w:rPr>
          <w:rFonts w:ascii="Century Gothic" w:hAnsi="Century Gothic" w:cs="Arial"/>
        </w:rPr>
        <w:t xml:space="preserve"> should inform the person who is likely to file application or writ and such notice should be sent by registered post according to R. 159(3) of the High Court Rules read with S. 148A C. P. C. 7.</w:t>
      </w:r>
    </w:p>
    <w:p w:rsidR="00E221F2" w:rsidRPr="00464303" w:rsidRDefault="00E221F2" w:rsidP="00464303">
      <w:pPr>
        <w:pStyle w:val="NormalWeb"/>
        <w:spacing w:line="276" w:lineRule="auto"/>
        <w:jc w:val="both"/>
        <w:rPr>
          <w:rFonts w:ascii="Century Gothic" w:hAnsi="Century Gothic" w:cs="Arial"/>
          <w:b/>
          <w:bCs/>
        </w:rPr>
      </w:pPr>
      <w:r w:rsidRPr="00464303">
        <w:rPr>
          <w:rFonts w:ascii="Century Gothic" w:hAnsi="Century Gothic" w:cs="Arial"/>
          <w:b/>
          <w:bCs/>
        </w:rPr>
        <w:t>NECESSITY OF SERVICE OF APPLICATION ON CAVEATOR</w:t>
      </w:r>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 xml:space="preserve">Where once a caveat is filed, it is a condition precedent for passing an interim order to serve a notice of the application on the </w:t>
      </w:r>
      <w:proofErr w:type="spellStart"/>
      <w:r w:rsidRPr="00464303">
        <w:rPr>
          <w:rFonts w:ascii="Century Gothic" w:hAnsi="Century Gothic" w:cs="Arial"/>
        </w:rPr>
        <w:t>caveator</w:t>
      </w:r>
      <w:proofErr w:type="spellEnd"/>
      <w:r w:rsidRPr="00464303">
        <w:rPr>
          <w:rFonts w:ascii="Century Gothic" w:hAnsi="Century Gothic" w:cs="Arial"/>
        </w:rPr>
        <w:t xml:space="preserve"> who is going to be affected by the interim order8.</w:t>
      </w:r>
    </w:p>
    <w:p w:rsidR="00E221F2" w:rsidRPr="00464303" w:rsidRDefault="00E221F2" w:rsidP="00464303">
      <w:pPr>
        <w:pStyle w:val="NormalWeb"/>
        <w:spacing w:line="276" w:lineRule="auto"/>
        <w:jc w:val="both"/>
        <w:rPr>
          <w:rFonts w:ascii="Century Gothic" w:hAnsi="Century Gothic" w:cs="Arial"/>
          <w:b/>
          <w:bCs/>
        </w:rPr>
      </w:pPr>
      <w:r w:rsidRPr="00464303">
        <w:rPr>
          <w:rFonts w:ascii="Century Gothic" w:hAnsi="Century Gothic" w:cs="Arial"/>
          <w:b/>
          <w:bCs/>
        </w:rPr>
        <w:t>CAVEATOR — RIGHT OF</w:t>
      </w:r>
    </w:p>
    <w:p w:rsidR="00E221F2" w:rsidRPr="00464303" w:rsidRDefault="00E221F2" w:rsidP="00464303">
      <w:pPr>
        <w:pStyle w:val="NormalWeb"/>
        <w:spacing w:line="276" w:lineRule="auto"/>
        <w:jc w:val="both"/>
        <w:rPr>
          <w:rFonts w:ascii="Century Gothic" w:hAnsi="Century Gothic" w:cs="Arial"/>
          <w:b/>
          <w:bCs/>
          <w:i/>
          <w:iCs/>
        </w:rPr>
      </w:pPr>
      <w:r w:rsidRPr="00464303">
        <w:rPr>
          <w:rFonts w:ascii="Century Gothic" w:hAnsi="Century Gothic" w:cs="Arial"/>
          <w:b/>
          <w:bCs/>
          <w:i/>
          <w:iCs/>
        </w:rPr>
        <w:t>Section 148A</w:t>
      </w:r>
    </w:p>
    <w:p w:rsidR="00E221F2" w:rsidRPr="00464303" w:rsidRDefault="00E221F2" w:rsidP="00464303">
      <w:pPr>
        <w:pStyle w:val="NormalWeb"/>
        <w:spacing w:line="276" w:lineRule="auto"/>
        <w:jc w:val="both"/>
        <w:rPr>
          <w:rFonts w:ascii="Century Gothic" w:hAnsi="Century Gothic" w:cs="Arial"/>
        </w:rPr>
      </w:pPr>
      <w:r w:rsidRPr="00464303">
        <w:rPr>
          <w:rFonts w:ascii="Century Gothic" w:hAnsi="Century Gothic" w:cs="Arial"/>
        </w:rPr>
        <w:t xml:space="preserve">Under Section 148A of Civil PC, the </w:t>
      </w:r>
      <w:proofErr w:type="spellStart"/>
      <w:r w:rsidRPr="00464303">
        <w:rPr>
          <w:rFonts w:ascii="Century Gothic" w:hAnsi="Century Gothic" w:cs="Arial"/>
        </w:rPr>
        <w:t>Caveator</w:t>
      </w:r>
      <w:proofErr w:type="spellEnd"/>
      <w:r w:rsidRPr="00464303">
        <w:rPr>
          <w:rFonts w:ascii="Century Gothic" w:hAnsi="Century Gothic" w:cs="Arial"/>
        </w:rPr>
        <w:t xml:space="preserve"> has a right to be heard if any application is filed and since appeal under section 100 CPC is not an application its notice need not be issued to </w:t>
      </w:r>
      <w:proofErr w:type="spellStart"/>
      <w:r w:rsidRPr="00464303">
        <w:rPr>
          <w:rFonts w:ascii="Century Gothic" w:hAnsi="Century Gothic" w:cs="Arial"/>
        </w:rPr>
        <w:t>caveator</w:t>
      </w:r>
      <w:proofErr w:type="spellEnd"/>
      <w:r w:rsidRPr="00464303">
        <w:rPr>
          <w:rFonts w:ascii="Century Gothic" w:hAnsi="Century Gothic" w:cs="Arial"/>
        </w:rPr>
        <w:t xml:space="preserve"> at the stage of admission. 9</w:t>
      </w:r>
    </w:p>
    <w:p w:rsidR="00E221F2" w:rsidRPr="00464303" w:rsidRDefault="00E221F2" w:rsidP="00464303">
      <w:pPr>
        <w:pStyle w:val="NormalWeb"/>
        <w:spacing w:line="276" w:lineRule="auto"/>
        <w:ind w:left="1440"/>
        <w:rPr>
          <w:rFonts w:ascii="Century Gothic" w:hAnsi="Century Gothic" w:cs="Arial"/>
        </w:rPr>
      </w:pPr>
      <w:r w:rsidRPr="00464303">
        <w:rPr>
          <w:rFonts w:ascii="Century Gothic" w:hAnsi="Century Gothic" w:cs="Arial"/>
        </w:rPr>
        <w:t xml:space="preserve">1. </w:t>
      </w:r>
      <w:proofErr w:type="spellStart"/>
      <w:r w:rsidRPr="00464303">
        <w:rPr>
          <w:rFonts w:ascii="Century Gothic" w:hAnsi="Century Gothic" w:cs="Arial"/>
        </w:rPr>
        <w:t>Pashupatinath</w:t>
      </w:r>
      <w:proofErr w:type="spellEnd"/>
      <w:r w:rsidRPr="00464303">
        <w:rPr>
          <w:rFonts w:ascii="Century Gothic" w:hAnsi="Century Gothic" w:cs="Arial"/>
        </w:rPr>
        <w:t xml:space="preserve"> v. Registrar Co-operative Societies, A. I. R. 1983 Raj. 191: 1982 Raj. L. R. 694.</w:t>
      </w:r>
    </w:p>
    <w:p w:rsidR="00E221F2" w:rsidRPr="00464303" w:rsidRDefault="00E221F2" w:rsidP="00464303">
      <w:pPr>
        <w:pStyle w:val="NormalWeb"/>
        <w:spacing w:line="276" w:lineRule="auto"/>
        <w:ind w:left="1440"/>
        <w:rPr>
          <w:rFonts w:ascii="Century Gothic" w:hAnsi="Century Gothic" w:cs="Arial"/>
        </w:rPr>
      </w:pPr>
      <w:r w:rsidRPr="00464303">
        <w:rPr>
          <w:rFonts w:ascii="Century Gothic" w:hAnsi="Century Gothic" w:cs="Arial"/>
        </w:rPr>
        <w:t xml:space="preserve">2. </w:t>
      </w:r>
      <w:proofErr w:type="spellStart"/>
      <w:r w:rsidRPr="00464303">
        <w:rPr>
          <w:rFonts w:ascii="Century Gothic" w:hAnsi="Century Gothic" w:cs="Arial"/>
        </w:rPr>
        <w:t>Pashupatinath</w:t>
      </w:r>
      <w:proofErr w:type="spellEnd"/>
      <w:r w:rsidRPr="00464303">
        <w:rPr>
          <w:rFonts w:ascii="Century Gothic" w:hAnsi="Century Gothic" w:cs="Arial"/>
        </w:rPr>
        <w:t xml:space="preserve"> v. Registrar Co-operative Societies, A. I. R. 1983 Raj. 191: 1982 Raj. L. R. 694.</w:t>
      </w:r>
    </w:p>
    <w:p w:rsidR="00E221F2" w:rsidRPr="00464303" w:rsidRDefault="00E221F2" w:rsidP="00464303">
      <w:pPr>
        <w:pStyle w:val="NormalWeb"/>
        <w:spacing w:line="276" w:lineRule="auto"/>
        <w:ind w:left="1440"/>
        <w:rPr>
          <w:rFonts w:ascii="Century Gothic" w:hAnsi="Century Gothic" w:cs="Arial"/>
        </w:rPr>
      </w:pPr>
      <w:r w:rsidRPr="00464303">
        <w:rPr>
          <w:rFonts w:ascii="Century Gothic" w:hAnsi="Century Gothic" w:cs="Arial"/>
        </w:rPr>
        <w:lastRenderedPageBreak/>
        <w:t xml:space="preserve">3. </w:t>
      </w:r>
      <w:proofErr w:type="spellStart"/>
      <w:r w:rsidRPr="00464303">
        <w:rPr>
          <w:rFonts w:ascii="Century Gothic" w:hAnsi="Century Gothic" w:cs="Arial"/>
        </w:rPr>
        <w:t>Pashupatinath</w:t>
      </w:r>
      <w:proofErr w:type="spellEnd"/>
      <w:r w:rsidRPr="00464303">
        <w:rPr>
          <w:rFonts w:ascii="Century Gothic" w:hAnsi="Century Gothic" w:cs="Arial"/>
        </w:rPr>
        <w:t xml:space="preserve"> v. Registrar Co-operative Societies, A. I. R. 1983 Raj. 191: 1982 Raj. L. R. 694.</w:t>
      </w:r>
    </w:p>
    <w:p w:rsidR="00E221F2" w:rsidRPr="00464303" w:rsidRDefault="00E221F2" w:rsidP="00464303">
      <w:pPr>
        <w:pStyle w:val="NormalWeb"/>
        <w:spacing w:line="276" w:lineRule="auto"/>
        <w:ind w:left="1440"/>
        <w:rPr>
          <w:rFonts w:ascii="Century Gothic" w:hAnsi="Century Gothic" w:cs="Arial"/>
        </w:rPr>
      </w:pPr>
      <w:proofErr w:type="gramStart"/>
      <w:r w:rsidRPr="00464303">
        <w:rPr>
          <w:rFonts w:ascii="Century Gothic" w:hAnsi="Century Gothic" w:cs="Arial"/>
        </w:rPr>
        <w:t xml:space="preserve">4. G. C. </w:t>
      </w:r>
      <w:proofErr w:type="spellStart"/>
      <w:r w:rsidRPr="00464303">
        <w:rPr>
          <w:rFonts w:ascii="Century Gothic" w:hAnsi="Century Gothic" w:cs="Arial"/>
        </w:rPr>
        <w:t>Siddalingappa</w:t>
      </w:r>
      <w:proofErr w:type="spellEnd"/>
      <w:r w:rsidRPr="00464303">
        <w:rPr>
          <w:rFonts w:ascii="Century Gothic" w:hAnsi="Century Gothic" w:cs="Arial"/>
        </w:rPr>
        <w:t xml:space="preserve"> v. G. C. </w:t>
      </w:r>
      <w:proofErr w:type="spellStart"/>
      <w:r w:rsidRPr="00464303">
        <w:rPr>
          <w:rFonts w:ascii="Century Gothic" w:hAnsi="Century Gothic" w:cs="Arial"/>
        </w:rPr>
        <w:t>Veeranna</w:t>
      </w:r>
      <w:proofErr w:type="spellEnd"/>
      <w:r w:rsidRPr="00464303">
        <w:rPr>
          <w:rFonts w:ascii="Century Gothic" w:hAnsi="Century Gothic" w:cs="Arial"/>
        </w:rPr>
        <w:t>, A. I. R. 1981 Kant.</w:t>
      </w:r>
      <w:proofErr w:type="gramEnd"/>
      <w:r w:rsidRPr="00464303">
        <w:rPr>
          <w:rFonts w:ascii="Century Gothic" w:hAnsi="Century Gothic" w:cs="Arial"/>
        </w:rPr>
        <w:t xml:space="preserve"> </w:t>
      </w:r>
      <w:proofErr w:type="gramStart"/>
      <w:r w:rsidRPr="00464303">
        <w:rPr>
          <w:rFonts w:ascii="Century Gothic" w:hAnsi="Century Gothic" w:cs="Arial"/>
        </w:rPr>
        <w:t>242: (1981) 2 Kant.</w:t>
      </w:r>
      <w:proofErr w:type="gramEnd"/>
      <w:r w:rsidRPr="00464303">
        <w:rPr>
          <w:rFonts w:ascii="Century Gothic" w:hAnsi="Century Gothic" w:cs="Arial"/>
        </w:rPr>
        <w:t xml:space="preserve"> L. J. 325.</w:t>
      </w:r>
    </w:p>
    <w:p w:rsidR="00E221F2" w:rsidRPr="00464303" w:rsidRDefault="00E221F2" w:rsidP="00464303">
      <w:pPr>
        <w:pStyle w:val="NormalWeb"/>
        <w:spacing w:line="276" w:lineRule="auto"/>
        <w:ind w:left="1440"/>
        <w:rPr>
          <w:rFonts w:ascii="Century Gothic" w:hAnsi="Century Gothic" w:cs="Arial"/>
        </w:rPr>
      </w:pPr>
      <w:r w:rsidRPr="00464303">
        <w:rPr>
          <w:rFonts w:ascii="Century Gothic" w:hAnsi="Century Gothic" w:cs="Arial"/>
        </w:rPr>
        <w:t xml:space="preserve">5. </w:t>
      </w:r>
      <w:proofErr w:type="spellStart"/>
      <w:r w:rsidRPr="00464303">
        <w:rPr>
          <w:rFonts w:ascii="Century Gothic" w:hAnsi="Century Gothic" w:cs="Arial"/>
        </w:rPr>
        <w:t>Pashupatinath</w:t>
      </w:r>
      <w:proofErr w:type="spellEnd"/>
      <w:r w:rsidRPr="00464303">
        <w:rPr>
          <w:rFonts w:ascii="Century Gothic" w:hAnsi="Century Gothic" w:cs="Arial"/>
        </w:rPr>
        <w:t xml:space="preserve"> v. Registrar Co-operative Societies, A. I. R. 1983 Raj. 19</w:t>
      </w:r>
      <w:proofErr w:type="gramStart"/>
      <w:r w:rsidRPr="00464303">
        <w:rPr>
          <w:rFonts w:ascii="Century Gothic" w:hAnsi="Century Gothic" w:cs="Arial"/>
        </w:rPr>
        <w:t>!:</w:t>
      </w:r>
      <w:proofErr w:type="gramEnd"/>
      <w:r w:rsidRPr="00464303">
        <w:rPr>
          <w:rFonts w:ascii="Century Gothic" w:hAnsi="Century Gothic" w:cs="Arial"/>
        </w:rPr>
        <w:t xml:space="preserve"> 1982 Raj. L. R. 694.</w:t>
      </w:r>
    </w:p>
    <w:p w:rsidR="00E221F2" w:rsidRPr="00464303" w:rsidRDefault="00E221F2" w:rsidP="00464303">
      <w:pPr>
        <w:pStyle w:val="NormalWeb"/>
        <w:spacing w:line="276" w:lineRule="auto"/>
        <w:ind w:left="1440"/>
        <w:rPr>
          <w:rFonts w:ascii="Century Gothic" w:hAnsi="Century Gothic" w:cs="Arial"/>
        </w:rPr>
      </w:pPr>
      <w:r w:rsidRPr="00464303">
        <w:rPr>
          <w:rFonts w:ascii="Century Gothic" w:hAnsi="Century Gothic" w:cs="Arial"/>
        </w:rPr>
        <w:t xml:space="preserve">6. </w:t>
      </w:r>
      <w:proofErr w:type="spellStart"/>
      <w:r w:rsidRPr="00464303">
        <w:rPr>
          <w:rFonts w:ascii="Century Gothic" w:hAnsi="Century Gothic" w:cs="Arial"/>
        </w:rPr>
        <w:t>Pashupatinath</w:t>
      </w:r>
      <w:proofErr w:type="spellEnd"/>
      <w:r w:rsidRPr="00464303">
        <w:rPr>
          <w:rFonts w:ascii="Century Gothic" w:hAnsi="Century Gothic" w:cs="Arial"/>
        </w:rPr>
        <w:t xml:space="preserve"> v. Registrar Co-operative Societies, A. I. R. 1983 Raj. 191</w:t>
      </w:r>
      <w:proofErr w:type="gramStart"/>
      <w:r w:rsidRPr="00464303">
        <w:rPr>
          <w:rFonts w:ascii="Century Gothic" w:hAnsi="Century Gothic" w:cs="Arial"/>
        </w:rPr>
        <w:t>: !</w:t>
      </w:r>
      <w:proofErr w:type="gramEnd"/>
      <w:r w:rsidRPr="00464303">
        <w:rPr>
          <w:rFonts w:ascii="Century Gothic" w:hAnsi="Century Gothic" w:cs="Arial"/>
        </w:rPr>
        <w:t>982 Raj. L. R. 694.</w:t>
      </w:r>
    </w:p>
    <w:p w:rsidR="00E221F2" w:rsidRPr="00464303" w:rsidRDefault="00E221F2" w:rsidP="00464303">
      <w:pPr>
        <w:pStyle w:val="NormalWeb"/>
        <w:spacing w:line="276" w:lineRule="auto"/>
        <w:ind w:left="1440"/>
        <w:rPr>
          <w:rFonts w:ascii="Century Gothic" w:hAnsi="Century Gothic" w:cs="Arial"/>
        </w:rPr>
      </w:pPr>
      <w:r w:rsidRPr="00464303">
        <w:rPr>
          <w:rFonts w:ascii="Century Gothic" w:hAnsi="Century Gothic" w:cs="Arial"/>
        </w:rPr>
        <w:t xml:space="preserve">7. </w:t>
      </w:r>
      <w:proofErr w:type="spellStart"/>
      <w:r w:rsidRPr="00464303">
        <w:rPr>
          <w:rFonts w:ascii="Century Gothic" w:hAnsi="Century Gothic" w:cs="Arial"/>
        </w:rPr>
        <w:t>Pashupatinath</w:t>
      </w:r>
      <w:proofErr w:type="spellEnd"/>
      <w:r w:rsidRPr="00464303">
        <w:rPr>
          <w:rFonts w:ascii="Century Gothic" w:hAnsi="Century Gothic" w:cs="Arial"/>
        </w:rPr>
        <w:t xml:space="preserve"> v. Registrar Co-operative Societies, A. I. R. 1983 Raj. 191: 1982 Raj. L. R. 694.</w:t>
      </w:r>
    </w:p>
    <w:p w:rsidR="00E221F2" w:rsidRPr="00464303" w:rsidRDefault="00E221F2" w:rsidP="00464303">
      <w:pPr>
        <w:pStyle w:val="NormalWeb"/>
        <w:spacing w:line="276" w:lineRule="auto"/>
        <w:ind w:left="1440"/>
        <w:rPr>
          <w:rFonts w:ascii="Century Gothic" w:hAnsi="Century Gothic" w:cs="Arial"/>
        </w:rPr>
      </w:pPr>
      <w:proofErr w:type="gramStart"/>
      <w:r w:rsidRPr="00464303">
        <w:rPr>
          <w:rFonts w:ascii="Century Gothic" w:hAnsi="Century Gothic" w:cs="Arial"/>
        </w:rPr>
        <w:t xml:space="preserve">8. G. C. </w:t>
      </w:r>
      <w:proofErr w:type="spellStart"/>
      <w:r w:rsidRPr="00464303">
        <w:rPr>
          <w:rFonts w:ascii="Century Gothic" w:hAnsi="Century Gothic" w:cs="Arial"/>
        </w:rPr>
        <w:t>Siddalingappa</w:t>
      </w:r>
      <w:proofErr w:type="spellEnd"/>
      <w:r w:rsidRPr="00464303">
        <w:rPr>
          <w:rFonts w:ascii="Century Gothic" w:hAnsi="Century Gothic" w:cs="Arial"/>
        </w:rPr>
        <w:t xml:space="preserve"> v. G. C. </w:t>
      </w:r>
      <w:proofErr w:type="spellStart"/>
      <w:r w:rsidRPr="00464303">
        <w:rPr>
          <w:rFonts w:ascii="Century Gothic" w:hAnsi="Century Gothic" w:cs="Arial"/>
        </w:rPr>
        <w:t>Veeranna</w:t>
      </w:r>
      <w:proofErr w:type="spellEnd"/>
      <w:r w:rsidRPr="00464303">
        <w:rPr>
          <w:rFonts w:ascii="Century Gothic" w:hAnsi="Century Gothic" w:cs="Arial"/>
        </w:rPr>
        <w:t>, A. I. R. 1981 Kant.</w:t>
      </w:r>
      <w:proofErr w:type="gramEnd"/>
      <w:r w:rsidRPr="00464303">
        <w:rPr>
          <w:rFonts w:ascii="Century Gothic" w:hAnsi="Century Gothic" w:cs="Arial"/>
        </w:rPr>
        <w:t xml:space="preserve"> </w:t>
      </w:r>
      <w:proofErr w:type="gramStart"/>
      <w:r w:rsidRPr="00464303">
        <w:rPr>
          <w:rFonts w:ascii="Century Gothic" w:hAnsi="Century Gothic" w:cs="Arial"/>
        </w:rPr>
        <w:t>242: (1981) 2 Kant.</w:t>
      </w:r>
      <w:proofErr w:type="gramEnd"/>
      <w:r w:rsidRPr="00464303">
        <w:rPr>
          <w:rFonts w:ascii="Century Gothic" w:hAnsi="Century Gothic" w:cs="Arial"/>
        </w:rPr>
        <w:t xml:space="preserve"> L. J. 325.</w:t>
      </w:r>
    </w:p>
    <w:p w:rsidR="00E221F2" w:rsidRPr="00464303" w:rsidRDefault="00E221F2" w:rsidP="00464303">
      <w:pPr>
        <w:pStyle w:val="NormalWeb"/>
        <w:spacing w:line="276" w:lineRule="auto"/>
        <w:ind w:left="1440"/>
        <w:rPr>
          <w:rFonts w:ascii="Century Gothic" w:hAnsi="Century Gothic" w:cs="Arial"/>
        </w:rPr>
      </w:pPr>
      <w:proofErr w:type="gramStart"/>
      <w:r w:rsidRPr="00464303">
        <w:rPr>
          <w:rFonts w:ascii="Century Gothic" w:hAnsi="Century Gothic" w:cs="Arial"/>
        </w:rPr>
        <w:t xml:space="preserve">9. </w:t>
      </w:r>
      <w:proofErr w:type="spellStart"/>
      <w:r w:rsidRPr="00464303">
        <w:rPr>
          <w:rFonts w:ascii="Century Gothic" w:hAnsi="Century Gothic" w:cs="Arial"/>
        </w:rPr>
        <w:t>Badami</w:t>
      </w:r>
      <w:proofErr w:type="spellEnd"/>
      <w:r w:rsidRPr="00464303">
        <w:rPr>
          <w:rFonts w:ascii="Century Gothic" w:hAnsi="Century Gothic" w:cs="Arial"/>
        </w:rPr>
        <w:t xml:space="preserve"> </w:t>
      </w:r>
      <w:proofErr w:type="spellStart"/>
      <w:r w:rsidRPr="00464303">
        <w:rPr>
          <w:rFonts w:ascii="Century Gothic" w:hAnsi="Century Gothic" w:cs="Arial"/>
        </w:rPr>
        <w:t>Kumari</w:t>
      </w:r>
      <w:proofErr w:type="spellEnd"/>
      <w:r w:rsidRPr="00464303">
        <w:rPr>
          <w:rFonts w:ascii="Century Gothic" w:hAnsi="Century Gothic" w:cs="Arial"/>
        </w:rPr>
        <w:t xml:space="preserve"> Patna v. </w:t>
      </w:r>
      <w:proofErr w:type="spellStart"/>
      <w:r w:rsidRPr="00464303">
        <w:rPr>
          <w:rFonts w:ascii="Century Gothic" w:hAnsi="Century Gothic" w:cs="Arial"/>
        </w:rPr>
        <w:t>Purna</w:t>
      </w:r>
      <w:proofErr w:type="spellEnd"/>
      <w:r w:rsidRPr="00464303">
        <w:rPr>
          <w:rFonts w:ascii="Century Gothic" w:hAnsi="Century Gothic" w:cs="Arial"/>
        </w:rPr>
        <w:t xml:space="preserve"> Chandra Jena, 2000 (4) CCC 21 (Orissa).</w:t>
      </w:r>
      <w:proofErr w:type="gramEnd"/>
    </w:p>
    <w:p w:rsidR="00E221F2" w:rsidRPr="00464303" w:rsidRDefault="00E221F2" w:rsidP="00464303">
      <w:pPr>
        <w:spacing w:line="276" w:lineRule="auto"/>
        <w:rPr>
          <w:rFonts w:ascii="Century Gothic" w:hAnsi="Century Gothic" w:cs="Arial"/>
        </w:rPr>
      </w:pPr>
    </w:p>
    <w:bookmarkEnd w:id="0"/>
    <w:p w:rsidR="00270574" w:rsidRPr="00464303" w:rsidRDefault="00270574" w:rsidP="00464303">
      <w:pPr>
        <w:spacing w:line="276" w:lineRule="auto"/>
        <w:rPr>
          <w:rFonts w:ascii="Century Gothic" w:hAnsi="Century Gothic" w:cs="Arial"/>
        </w:rPr>
      </w:pPr>
    </w:p>
    <w:sectPr w:rsidR="00270574" w:rsidRPr="0046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F9"/>
    <w:rsid w:val="00270574"/>
    <w:rsid w:val="00464303"/>
    <w:rsid w:val="00E221F2"/>
    <w:rsid w:val="00E96891"/>
    <w:rsid w:val="00EE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F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1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F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NOTHER%20FORM%20OF%20CAV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ANOTHER FORM OF CAVEAT</Template>
  <TotalTime>1</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2024-06-15T10:46:00Z</dcterms:created>
  <dcterms:modified xsi:type="dcterms:W3CDTF">2024-06-15T10:46:00Z</dcterms:modified>
</cp:coreProperties>
</file>