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61" w:rsidRPr="00B07505" w:rsidRDefault="005E2B61" w:rsidP="00B07505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B07505">
        <w:rPr>
          <w:rFonts w:ascii="Century Gothic" w:hAnsi="Century Gothic" w:cs="Arial"/>
          <w:b/>
          <w:bCs/>
          <w:szCs w:val="22"/>
        </w:rPr>
        <w:t>APPLICATION UNDER ORDER 11, RULE 21, C. P. C.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07505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B07505">
        <w:rPr>
          <w:rFonts w:ascii="Century Gothic" w:hAnsi="Century Gothic" w:cs="Arial"/>
          <w:szCs w:val="22"/>
        </w:rPr>
        <w:t>of</w:t>
      </w:r>
      <w:proofErr w:type="gramEnd"/>
      <w:r w:rsidRPr="00B07505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C. D................................................................... Plaintiff</w:t>
      </w:r>
    </w:p>
    <w:p w:rsidR="005E2B61" w:rsidRPr="00B07505" w:rsidRDefault="005E2B61" w:rsidP="00B07505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B07505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B07505">
        <w:rPr>
          <w:rFonts w:ascii="Century Gothic" w:hAnsi="Century Gothic" w:cs="Arial"/>
          <w:i/>
          <w:iCs/>
          <w:szCs w:val="22"/>
        </w:rPr>
        <w:t xml:space="preserve"> 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The applicant most respectfully submits as under: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1. That the applicant had already delivered by leave of the court a set of interrogations to be answered by the defendant on.................... (</w:t>
      </w:r>
      <w:proofErr w:type="gramStart"/>
      <w:r w:rsidRPr="00B07505">
        <w:rPr>
          <w:rFonts w:ascii="Century Gothic" w:hAnsi="Century Gothic" w:cs="Arial"/>
          <w:szCs w:val="22"/>
        </w:rPr>
        <w:t>date</w:t>
      </w:r>
      <w:proofErr w:type="gramEnd"/>
      <w:r w:rsidRPr="00B07505">
        <w:rPr>
          <w:rFonts w:ascii="Century Gothic" w:hAnsi="Century Gothic" w:cs="Arial"/>
          <w:szCs w:val="22"/>
        </w:rPr>
        <w:t>).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2. That the defendant has failed to comply with the orders of this </w:t>
      </w:r>
      <w:proofErr w:type="spellStart"/>
      <w:r w:rsidRPr="00B07505">
        <w:rPr>
          <w:rFonts w:ascii="Century Gothic" w:hAnsi="Century Gothic" w:cs="Arial"/>
          <w:szCs w:val="22"/>
        </w:rPr>
        <w:t>Hon’ble</w:t>
      </w:r>
      <w:proofErr w:type="spellEnd"/>
      <w:r w:rsidRPr="00B07505">
        <w:rPr>
          <w:rFonts w:ascii="Century Gothic" w:hAnsi="Century Gothic" w:cs="Arial"/>
          <w:szCs w:val="22"/>
        </w:rPr>
        <w:t xml:space="preserve"> Court to answer the aforesaid interrogatories,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3. That in view of the above, the defendant is liable to have his </w:t>
      </w:r>
      <w:proofErr w:type="spellStart"/>
      <w:r w:rsidRPr="00B07505">
        <w:rPr>
          <w:rFonts w:ascii="Century Gothic" w:hAnsi="Century Gothic" w:cs="Arial"/>
          <w:szCs w:val="22"/>
        </w:rPr>
        <w:t>defence</w:t>
      </w:r>
      <w:proofErr w:type="spellEnd"/>
      <w:r w:rsidRPr="00B07505">
        <w:rPr>
          <w:rFonts w:ascii="Century Gothic" w:hAnsi="Century Gothic" w:cs="Arial"/>
          <w:szCs w:val="22"/>
        </w:rPr>
        <w:t xml:space="preserve"> struck out.</w:t>
      </w:r>
    </w:p>
    <w:p w:rsidR="005E2B61" w:rsidRPr="00B07505" w:rsidRDefault="005E2B61" w:rsidP="00B07505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07505">
        <w:rPr>
          <w:rFonts w:ascii="Century Gothic" w:hAnsi="Century Gothic" w:cs="Arial"/>
          <w:b/>
          <w:bCs/>
          <w:szCs w:val="22"/>
        </w:rPr>
        <w:t>PRAYER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It is most respectfully prayed that the </w:t>
      </w:r>
      <w:proofErr w:type="spellStart"/>
      <w:r w:rsidRPr="00B07505">
        <w:rPr>
          <w:rFonts w:ascii="Century Gothic" w:hAnsi="Century Gothic" w:cs="Arial"/>
          <w:szCs w:val="22"/>
        </w:rPr>
        <w:t>defence</w:t>
      </w:r>
      <w:proofErr w:type="spellEnd"/>
      <w:r w:rsidRPr="00B07505">
        <w:rPr>
          <w:rFonts w:ascii="Century Gothic" w:hAnsi="Century Gothic" w:cs="Arial"/>
          <w:szCs w:val="22"/>
        </w:rPr>
        <w:t xml:space="preserve"> of the defendant may be ordered to be struck out.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It is accordingly prayed.</w:t>
      </w:r>
    </w:p>
    <w:p w:rsidR="005E2B61" w:rsidRPr="00B07505" w:rsidRDefault="005E2B61" w:rsidP="00B07505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Plaintiff 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Through</w:t>
      </w:r>
    </w:p>
    <w:p w:rsidR="005E2B61" w:rsidRPr="00B07505" w:rsidRDefault="005E2B61" w:rsidP="00B07505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Advocate </w:t>
      </w:r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Place</w:t>
      </w:r>
      <w:proofErr w:type="gramStart"/>
      <w:r w:rsidRPr="00B07505">
        <w:rPr>
          <w:rFonts w:ascii="Century Gothic" w:hAnsi="Century Gothic" w:cs="Arial"/>
          <w:szCs w:val="22"/>
        </w:rPr>
        <w:t>:.....................</w:t>
      </w:r>
      <w:proofErr w:type="gramEnd"/>
    </w:p>
    <w:p w:rsidR="005E2B61" w:rsidRPr="00B07505" w:rsidRDefault="005E2B61" w:rsidP="00B0750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Dated</w:t>
      </w:r>
      <w:proofErr w:type="gramStart"/>
      <w:r w:rsidRPr="00B07505">
        <w:rPr>
          <w:rFonts w:ascii="Century Gothic" w:hAnsi="Century Gothic" w:cs="Arial"/>
          <w:szCs w:val="22"/>
        </w:rPr>
        <w:t>:.....................</w:t>
      </w:r>
      <w:proofErr w:type="gramEnd"/>
    </w:p>
    <w:p w:rsidR="005E2B61" w:rsidRPr="00B07505" w:rsidRDefault="005E2B61" w:rsidP="00B07505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07505">
        <w:rPr>
          <w:rFonts w:ascii="Century Gothic" w:hAnsi="Century Gothic" w:cs="Arial"/>
          <w:b/>
          <w:bCs/>
          <w:szCs w:val="22"/>
        </w:rPr>
        <w:t xml:space="preserve">CASE LAW 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B07505">
        <w:rPr>
          <w:rFonts w:ascii="Century Gothic" w:hAnsi="Century Gothic" w:cs="Arial"/>
          <w:b/>
          <w:bCs/>
          <w:i/>
          <w:iCs/>
          <w:szCs w:val="22"/>
        </w:rPr>
        <w:lastRenderedPageBreak/>
        <w:t xml:space="preserve">Order 11 Rule 21 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proofErr w:type="gramStart"/>
      <w:r w:rsidRPr="00B07505">
        <w:rPr>
          <w:rFonts w:ascii="Century Gothic" w:hAnsi="Century Gothic" w:cs="Arial"/>
          <w:b/>
          <w:bCs/>
          <w:szCs w:val="22"/>
        </w:rPr>
        <w:t>STATEMENT OF WITNESSES.</w:t>
      </w:r>
      <w:proofErr w:type="gramEnd"/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The mere statement of the plaintiff s witnesses cannot constitute the plaintiff s evidence in the case unless and until it is tested by cross-examination1.</w:t>
      </w:r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proofErr w:type="gramStart"/>
      <w:r w:rsidRPr="00B07505">
        <w:rPr>
          <w:rFonts w:ascii="Century Gothic" w:hAnsi="Century Gothic" w:cs="Arial"/>
          <w:b/>
          <w:bCs/>
          <w:szCs w:val="22"/>
        </w:rPr>
        <w:t>PARTIAL DECREE.</w:t>
      </w:r>
      <w:proofErr w:type="gramEnd"/>
    </w:p>
    <w:p w:rsidR="005E2B61" w:rsidRPr="00B07505" w:rsidRDefault="005E2B61" w:rsidP="00B0750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On the uncontested part the trial Court was obliged to pass a partial decree in </w:t>
      </w:r>
      <w:proofErr w:type="spellStart"/>
      <w:r w:rsidRPr="00B07505">
        <w:rPr>
          <w:rFonts w:ascii="Century Gothic" w:hAnsi="Century Gothic" w:cs="Arial"/>
          <w:szCs w:val="22"/>
        </w:rPr>
        <w:t>favour</w:t>
      </w:r>
      <w:proofErr w:type="spellEnd"/>
      <w:r w:rsidRPr="00B07505">
        <w:rPr>
          <w:rFonts w:ascii="Century Gothic" w:hAnsi="Century Gothic" w:cs="Arial"/>
          <w:szCs w:val="22"/>
        </w:rPr>
        <w:t xml:space="preserve"> of the plaintiff even though he and his counsel were absent on the date when action was taken under Order XI Rule 21 of the Civil Procedure Code2.</w:t>
      </w:r>
    </w:p>
    <w:p w:rsidR="005E2B61" w:rsidRPr="00B07505" w:rsidRDefault="005E2B61" w:rsidP="00B07505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 xml:space="preserve">1. Modula India v. </w:t>
      </w:r>
      <w:proofErr w:type="spellStart"/>
      <w:r w:rsidRPr="00B07505">
        <w:rPr>
          <w:rFonts w:ascii="Century Gothic" w:hAnsi="Century Gothic" w:cs="Arial"/>
          <w:szCs w:val="22"/>
        </w:rPr>
        <w:t>Kamakshya</w:t>
      </w:r>
      <w:proofErr w:type="spellEnd"/>
      <w:r w:rsidRPr="00B07505">
        <w:rPr>
          <w:rFonts w:ascii="Century Gothic" w:hAnsi="Century Gothic" w:cs="Arial"/>
          <w:szCs w:val="22"/>
        </w:rPr>
        <w:t xml:space="preserve"> Singh </w:t>
      </w:r>
      <w:proofErr w:type="spellStart"/>
      <w:r w:rsidRPr="00B07505">
        <w:rPr>
          <w:rFonts w:ascii="Century Gothic" w:hAnsi="Century Gothic" w:cs="Arial"/>
          <w:szCs w:val="22"/>
        </w:rPr>
        <w:t>Deo</w:t>
      </w:r>
      <w:proofErr w:type="spellEnd"/>
      <w:r w:rsidRPr="00B07505">
        <w:rPr>
          <w:rFonts w:ascii="Century Gothic" w:hAnsi="Century Gothic" w:cs="Arial"/>
          <w:szCs w:val="22"/>
        </w:rPr>
        <w:t xml:space="preserve">, A. I. R. 1989 Supreme Court 162: 1988(4) S. C. C. 619: 1988 (4) J. T. 214: 1988 </w:t>
      </w:r>
      <w:proofErr w:type="spellStart"/>
      <w:r w:rsidRPr="00B07505">
        <w:rPr>
          <w:rFonts w:ascii="Century Gothic" w:hAnsi="Century Gothic" w:cs="Arial"/>
          <w:szCs w:val="22"/>
        </w:rPr>
        <w:t>Rajdhani</w:t>
      </w:r>
      <w:proofErr w:type="spellEnd"/>
      <w:r w:rsidRPr="00B07505">
        <w:rPr>
          <w:rFonts w:ascii="Century Gothic" w:hAnsi="Century Gothic" w:cs="Arial"/>
          <w:szCs w:val="22"/>
        </w:rPr>
        <w:t xml:space="preserve"> L. R. 598: 1988 (2) </w:t>
      </w:r>
      <w:proofErr w:type="spellStart"/>
      <w:r w:rsidRPr="00B07505">
        <w:rPr>
          <w:rFonts w:ascii="Century Gothic" w:hAnsi="Century Gothic" w:cs="Arial"/>
          <w:szCs w:val="22"/>
        </w:rPr>
        <w:t>Ren</w:t>
      </w:r>
      <w:proofErr w:type="spellEnd"/>
      <w:r w:rsidRPr="00B07505">
        <w:rPr>
          <w:rFonts w:ascii="Century Gothic" w:hAnsi="Century Gothic" w:cs="Arial"/>
          <w:szCs w:val="22"/>
        </w:rPr>
        <w:t xml:space="preserve">. C. R. 530: 1988 (2) </w:t>
      </w:r>
      <w:proofErr w:type="spellStart"/>
      <w:r w:rsidRPr="00B07505">
        <w:rPr>
          <w:rFonts w:ascii="Century Gothic" w:hAnsi="Century Gothic" w:cs="Arial"/>
          <w:szCs w:val="22"/>
        </w:rPr>
        <w:t>Ren</w:t>
      </w:r>
      <w:proofErr w:type="spellEnd"/>
      <w:r w:rsidRPr="00B07505">
        <w:rPr>
          <w:rFonts w:ascii="Century Gothic" w:hAnsi="Century Gothic" w:cs="Arial"/>
          <w:szCs w:val="22"/>
        </w:rPr>
        <w:t>. C. J. 525.</w:t>
      </w:r>
    </w:p>
    <w:p w:rsidR="005E2B61" w:rsidRPr="00B07505" w:rsidRDefault="005E2B61" w:rsidP="00B07505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B07505">
        <w:rPr>
          <w:rFonts w:ascii="Century Gothic" w:hAnsi="Century Gothic" w:cs="Arial"/>
          <w:szCs w:val="22"/>
        </w:rPr>
        <w:t>2. Calcutta Port Trust v. Shalimar Tar Products Ltd., A. l. R. 1991 Supreme Court 684: 1991 (1) L. J. R. 929: 1991 (5) J. T. 416: 1991 Supp. (2) S. C. C. 513.</w:t>
      </w:r>
    </w:p>
    <w:bookmarkEnd w:id="0"/>
    <w:p w:rsidR="00236313" w:rsidRPr="00B07505" w:rsidRDefault="00236313" w:rsidP="00B07505">
      <w:pPr>
        <w:rPr>
          <w:rFonts w:ascii="Century Gothic" w:hAnsi="Century Gothic" w:cs="Arial"/>
          <w:sz w:val="24"/>
        </w:rPr>
      </w:pPr>
    </w:p>
    <w:sectPr w:rsidR="00236313" w:rsidRPr="00B0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E"/>
    <w:rsid w:val="0014474E"/>
    <w:rsid w:val="00236313"/>
    <w:rsid w:val="002B36D4"/>
    <w:rsid w:val="005E2B61"/>
    <w:rsid w:val="00B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1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2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1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2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1,%20RULE%2021,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11, RULE 21, C P C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2024-06-15T11:29:00Z</dcterms:created>
  <dcterms:modified xsi:type="dcterms:W3CDTF">2024-06-15T11:29:00Z</dcterms:modified>
</cp:coreProperties>
</file>