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C2" w:rsidRPr="008C385A" w:rsidRDefault="000B01C2" w:rsidP="008C385A">
      <w:pPr>
        <w:pStyle w:val="NormalWeb"/>
        <w:spacing w:line="276" w:lineRule="auto"/>
        <w:jc w:val="center"/>
        <w:rPr>
          <w:rFonts w:ascii="Century Gothic" w:hAnsi="Century Gothic" w:cs="Arial"/>
          <w:b/>
          <w:bCs/>
          <w:szCs w:val="22"/>
        </w:rPr>
      </w:pPr>
      <w:bookmarkStart w:id="0" w:name="_GoBack"/>
      <w:proofErr w:type="gramStart"/>
      <w:r w:rsidRPr="008C385A">
        <w:rPr>
          <w:rFonts w:ascii="Century Gothic" w:hAnsi="Century Gothic" w:cs="Arial"/>
          <w:b/>
          <w:bCs/>
          <w:szCs w:val="22"/>
        </w:rPr>
        <w:t>APPLICATION UNDER ORDER 21, RULE 97, C. P. C.</w:t>
      </w:r>
      <w:proofErr w:type="gramEnd"/>
    </w:p>
    <w:p w:rsidR="000B01C2" w:rsidRPr="008C385A" w:rsidRDefault="000B01C2" w:rsidP="008C385A">
      <w:pPr>
        <w:pStyle w:val="NormalWeb"/>
        <w:spacing w:line="276" w:lineRule="auto"/>
        <w:rPr>
          <w:rFonts w:ascii="Century Gothic" w:hAnsi="Century Gothic" w:cs="Arial"/>
          <w:szCs w:val="22"/>
        </w:rPr>
      </w:pPr>
      <w:proofErr w:type="gramStart"/>
      <w:r w:rsidRPr="008C385A">
        <w:rPr>
          <w:rFonts w:ascii="Century Gothic" w:hAnsi="Century Gothic" w:cs="Arial"/>
          <w:szCs w:val="22"/>
        </w:rPr>
        <w:t>IN THE COURT OF....................</w:t>
      </w:r>
      <w:proofErr w:type="gramEnd"/>
    </w:p>
    <w:p w:rsidR="000B01C2" w:rsidRPr="008C385A" w:rsidRDefault="000B01C2" w:rsidP="008C385A">
      <w:pPr>
        <w:pStyle w:val="NormalWeb"/>
        <w:spacing w:line="276" w:lineRule="auto"/>
        <w:rPr>
          <w:rFonts w:ascii="Century Gothic" w:hAnsi="Century Gothic" w:cs="Arial"/>
          <w:szCs w:val="22"/>
        </w:rPr>
      </w:pPr>
      <w:r w:rsidRPr="008C385A">
        <w:rPr>
          <w:rFonts w:ascii="Century Gothic" w:hAnsi="Century Gothic" w:cs="Arial"/>
          <w:szCs w:val="22"/>
        </w:rPr>
        <w:t xml:space="preserve">Suit No..................... </w:t>
      </w:r>
      <w:proofErr w:type="gramStart"/>
      <w:r w:rsidRPr="008C385A">
        <w:rPr>
          <w:rFonts w:ascii="Century Gothic" w:hAnsi="Century Gothic" w:cs="Arial"/>
          <w:szCs w:val="22"/>
        </w:rPr>
        <w:t>of</w:t>
      </w:r>
      <w:proofErr w:type="gramEnd"/>
      <w:r w:rsidRPr="008C385A">
        <w:rPr>
          <w:rFonts w:ascii="Century Gothic" w:hAnsi="Century Gothic" w:cs="Arial"/>
          <w:szCs w:val="22"/>
        </w:rPr>
        <w:t xml:space="preserve"> 19........................................</w:t>
      </w:r>
    </w:p>
    <w:p w:rsidR="000B01C2" w:rsidRPr="008C385A" w:rsidRDefault="000B01C2" w:rsidP="008C385A">
      <w:pPr>
        <w:pStyle w:val="NormalWeb"/>
        <w:spacing w:line="276" w:lineRule="auto"/>
        <w:rPr>
          <w:rFonts w:ascii="Century Gothic" w:hAnsi="Century Gothic" w:cs="Arial"/>
          <w:szCs w:val="22"/>
        </w:rPr>
      </w:pPr>
      <w:r w:rsidRPr="008C385A">
        <w:rPr>
          <w:rFonts w:ascii="Century Gothic" w:hAnsi="Century Gothic" w:cs="Arial"/>
          <w:szCs w:val="22"/>
        </w:rPr>
        <w:t>C. D................................................................... Plaintiff</w:t>
      </w:r>
    </w:p>
    <w:p w:rsidR="000B01C2" w:rsidRPr="008C385A" w:rsidRDefault="000B01C2" w:rsidP="008C385A">
      <w:pPr>
        <w:pStyle w:val="NormalWeb"/>
        <w:spacing w:line="276" w:lineRule="auto"/>
        <w:rPr>
          <w:rFonts w:ascii="Century Gothic" w:hAnsi="Century Gothic" w:cs="Arial"/>
          <w:i/>
          <w:iCs/>
          <w:szCs w:val="22"/>
        </w:rPr>
      </w:pPr>
      <w:proofErr w:type="gramStart"/>
      <w:r w:rsidRPr="008C385A">
        <w:rPr>
          <w:rFonts w:ascii="Century Gothic" w:hAnsi="Century Gothic" w:cs="Arial"/>
          <w:i/>
          <w:iCs/>
          <w:szCs w:val="22"/>
        </w:rPr>
        <w:t>versus</w:t>
      </w:r>
      <w:proofErr w:type="gramEnd"/>
      <w:r w:rsidRPr="008C385A">
        <w:rPr>
          <w:rFonts w:ascii="Century Gothic" w:hAnsi="Century Gothic" w:cs="Arial"/>
          <w:i/>
          <w:iCs/>
          <w:szCs w:val="22"/>
        </w:rPr>
        <w:t xml:space="preserve"> </w:t>
      </w:r>
    </w:p>
    <w:p w:rsidR="000B01C2" w:rsidRPr="008C385A" w:rsidRDefault="000B01C2" w:rsidP="008C385A">
      <w:pPr>
        <w:pStyle w:val="NormalWeb"/>
        <w:spacing w:line="276" w:lineRule="auto"/>
        <w:rPr>
          <w:rFonts w:ascii="Century Gothic" w:hAnsi="Century Gothic" w:cs="Arial"/>
          <w:szCs w:val="22"/>
        </w:rPr>
      </w:pPr>
      <w:r w:rsidRPr="008C385A">
        <w:rPr>
          <w:rFonts w:ascii="Century Gothic" w:hAnsi="Century Gothic" w:cs="Arial"/>
          <w:szCs w:val="22"/>
        </w:rPr>
        <w:t>C. F................................................................ Defendant</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The applicant most respectfully submits as under: —</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1. That a decree for possession of the property mentioned in the decree </w:t>
      </w:r>
      <w:proofErr w:type="gramStart"/>
      <w:r w:rsidRPr="008C385A">
        <w:rPr>
          <w:rFonts w:ascii="Century Gothic" w:hAnsi="Century Gothic" w:cs="Arial"/>
          <w:szCs w:val="22"/>
        </w:rPr>
        <w:t>dated ....................</w:t>
      </w:r>
      <w:proofErr w:type="gramEnd"/>
      <w:r w:rsidRPr="008C385A">
        <w:rPr>
          <w:rFonts w:ascii="Century Gothic" w:hAnsi="Century Gothic" w:cs="Arial"/>
          <w:szCs w:val="22"/>
        </w:rPr>
        <w:t xml:space="preserve"> </w:t>
      </w:r>
      <w:proofErr w:type="gramStart"/>
      <w:r w:rsidRPr="008C385A">
        <w:rPr>
          <w:rFonts w:ascii="Century Gothic" w:hAnsi="Century Gothic" w:cs="Arial"/>
          <w:szCs w:val="22"/>
        </w:rPr>
        <w:t>of</w:t>
      </w:r>
      <w:proofErr w:type="gramEnd"/>
      <w:r w:rsidRPr="008C385A">
        <w:rPr>
          <w:rFonts w:ascii="Century Gothic" w:hAnsi="Century Gothic" w:cs="Arial"/>
          <w:szCs w:val="22"/>
        </w:rPr>
        <w:t xml:space="preserve"> this </w:t>
      </w:r>
      <w:proofErr w:type="spellStart"/>
      <w:r w:rsidRPr="008C385A">
        <w:rPr>
          <w:rFonts w:ascii="Century Gothic" w:hAnsi="Century Gothic" w:cs="Arial"/>
          <w:szCs w:val="22"/>
        </w:rPr>
        <w:t>Hon’ble</w:t>
      </w:r>
      <w:proofErr w:type="spellEnd"/>
      <w:r w:rsidRPr="008C385A">
        <w:rPr>
          <w:rFonts w:ascii="Century Gothic" w:hAnsi="Century Gothic" w:cs="Arial"/>
          <w:szCs w:val="22"/>
        </w:rPr>
        <w:t xml:space="preserve"> Court was passed in </w:t>
      </w:r>
      <w:proofErr w:type="spellStart"/>
      <w:r w:rsidRPr="008C385A">
        <w:rPr>
          <w:rFonts w:ascii="Century Gothic" w:hAnsi="Century Gothic" w:cs="Arial"/>
          <w:szCs w:val="22"/>
        </w:rPr>
        <w:t>favour</w:t>
      </w:r>
      <w:proofErr w:type="spellEnd"/>
      <w:r w:rsidRPr="008C385A">
        <w:rPr>
          <w:rFonts w:ascii="Century Gothic" w:hAnsi="Century Gothic" w:cs="Arial"/>
          <w:szCs w:val="22"/>
        </w:rPr>
        <w:t xml:space="preserve"> of the applicant against the judgment-debtor.</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2. That on.................... (</w:t>
      </w:r>
      <w:proofErr w:type="gramStart"/>
      <w:r w:rsidRPr="008C385A">
        <w:rPr>
          <w:rFonts w:ascii="Century Gothic" w:hAnsi="Century Gothic" w:cs="Arial"/>
          <w:szCs w:val="22"/>
        </w:rPr>
        <w:t>date</w:t>
      </w:r>
      <w:proofErr w:type="gramEnd"/>
      <w:r w:rsidRPr="008C385A">
        <w:rPr>
          <w:rFonts w:ascii="Century Gothic" w:hAnsi="Century Gothic" w:cs="Arial"/>
          <w:szCs w:val="22"/>
        </w:rPr>
        <w:t xml:space="preserve">) the applicant obtained from this </w:t>
      </w:r>
      <w:proofErr w:type="spellStart"/>
      <w:r w:rsidRPr="008C385A">
        <w:rPr>
          <w:rFonts w:ascii="Century Gothic" w:hAnsi="Century Gothic" w:cs="Arial"/>
          <w:szCs w:val="22"/>
        </w:rPr>
        <w:t>Hon’ble</w:t>
      </w:r>
      <w:proofErr w:type="spellEnd"/>
      <w:r w:rsidRPr="008C385A">
        <w:rPr>
          <w:rFonts w:ascii="Century Gothic" w:hAnsi="Century Gothic" w:cs="Arial"/>
          <w:szCs w:val="22"/>
        </w:rPr>
        <w:t xml:space="preserve"> Court a warrant for possession of the house of the judgment-debtor and on .................... (</w:t>
      </w:r>
      <w:proofErr w:type="gramStart"/>
      <w:r w:rsidRPr="008C385A">
        <w:rPr>
          <w:rFonts w:ascii="Century Gothic" w:hAnsi="Century Gothic" w:cs="Arial"/>
          <w:szCs w:val="22"/>
        </w:rPr>
        <w:t>date</w:t>
      </w:r>
      <w:proofErr w:type="gramEnd"/>
      <w:r w:rsidRPr="008C385A">
        <w:rPr>
          <w:rFonts w:ascii="Century Gothic" w:hAnsi="Century Gothic" w:cs="Arial"/>
          <w:szCs w:val="22"/>
        </w:rPr>
        <w:t>) the court Amin visited the house of the Judgment Debtor to execute warrant of possession.</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3. That the decree could not be executed due to </w:t>
      </w:r>
      <w:proofErr w:type="spellStart"/>
      <w:r w:rsidRPr="008C385A">
        <w:rPr>
          <w:rFonts w:ascii="Century Gothic" w:hAnsi="Century Gothic" w:cs="Arial"/>
          <w:szCs w:val="22"/>
        </w:rPr>
        <w:t>resistence</w:t>
      </w:r>
      <w:proofErr w:type="spellEnd"/>
      <w:r w:rsidRPr="008C385A">
        <w:rPr>
          <w:rFonts w:ascii="Century Gothic" w:hAnsi="Century Gothic" w:cs="Arial"/>
          <w:szCs w:val="22"/>
        </w:rPr>
        <w:t xml:space="preserve"> and obstruction caused by the judgment-debtor and the members of his family.</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4. That the resistance and obstruction caused by the judgment-debtor and by other members of his family was without any just cause.</w:t>
      </w:r>
    </w:p>
    <w:p w:rsidR="000B01C2" w:rsidRPr="008C385A" w:rsidRDefault="000B01C2" w:rsidP="008C385A">
      <w:pPr>
        <w:pStyle w:val="NormalWeb"/>
        <w:spacing w:line="276" w:lineRule="auto"/>
        <w:jc w:val="center"/>
        <w:rPr>
          <w:rFonts w:ascii="Century Gothic" w:hAnsi="Century Gothic" w:cs="Arial"/>
          <w:b/>
          <w:bCs/>
          <w:szCs w:val="22"/>
        </w:rPr>
      </w:pPr>
      <w:r w:rsidRPr="008C385A">
        <w:rPr>
          <w:rFonts w:ascii="Century Gothic" w:hAnsi="Century Gothic" w:cs="Arial"/>
          <w:b/>
          <w:bCs/>
          <w:szCs w:val="22"/>
        </w:rPr>
        <w:t>PRAYER</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It is, therefore most respectfully prayed that this </w:t>
      </w:r>
      <w:proofErr w:type="spellStart"/>
      <w:r w:rsidRPr="008C385A">
        <w:rPr>
          <w:rFonts w:ascii="Century Gothic" w:hAnsi="Century Gothic" w:cs="Arial"/>
          <w:szCs w:val="22"/>
        </w:rPr>
        <w:t>Hon’ble</w:t>
      </w:r>
      <w:proofErr w:type="spellEnd"/>
      <w:r w:rsidRPr="008C385A">
        <w:rPr>
          <w:rFonts w:ascii="Century Gothic" w:hAnsi="Century Gothic" w:cs="Arial"/>
          <w:szCs w:val="22"/>
        </w:rPr>
        <w:t xml:space="preserve"> Court may be pleased to issue notice to the opposite parties and investigation may be ordered to be made in the matter and thereafter orders may be passed to put the applicant in possession of the property.</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It is accordingly prayed.</w:t>
      </w:r>
    </w:p>
    <w:p w:rsidR="000B01C2" w:rsidRPr="008C385A" w:rsidRDefault="000B01C2" w:rsidP="008C385A">
      <w:pPr>
        <w:pStyle w:val="NormalWeb"/>
        <w:spacing w:line="276" w:lineRule="auto"/>
        <w:jc w:val="right"/>
        <w:rPr>
          <w:rFonts w:ascii="Century Gothic" w:hAnsi="Century Gothic" w:cs="Arial"/>
          <w:szCs w:val="22"/>
        </w:rPr>
      </w:pPr>
      <w:r w:rsidRPr="008C385A">
        <w:rPr>
          <w:rFonts w:ascii="Century Gothic" w:hAnsi="Century Gothic" w:cs="Arial"/>
          <w:szCs w:val="22"/>
        </w:rPr>
        <w:t xml:space="preserve">Plaintiff </w:t>
      </w:r>
    </w:p>
    <w:p w:rsidR="000B01C2" w:rsidRPr="008C385A" w:rsidRDefault="000B01C2" w:rsidP="008C385A">
      <w:pPr>
        <w:pStyle w:val="NormalWeb"/>
        <w:spacing w:line="276" w:lineRule="auto"/>
        <w:jc w:val="right"/>
        <w:rPr>
          <w:rFonts w:ascii="Century Gothic" w:hAnsi="Century Gothic" w:cs="Arial"/>
          <w:szCs w:val="22"/>
        </w:rPr>
      </w:pPr>
      <w:r w:rsidRPr="008C385A">
        <w:rPr>
          <w:rFonts w:ascii="Century Gothic" w:hAnsi="Century Gothic" w:cs="Arial"/>
          <w:szCs w:val="22"/>
        </w:rPr>
        <w:t xml:space="preserve">Through Advocate </w:t>
      </w:r>
    </w:p>
    <w:p w:rsidR="000B01C2" w:rsidRPr="008C385A" w:rsidRDefault="000B01C2" w:rsidP="008C385A">
      <w:pPr>
        <w:pStyle w:val="NormalWeb"/>
        <w:spacing w:line="276" w:lineRule="auto"/>
        <w:rPr>
          <w:rFonts w:ascii="Century Gothic" w:hAnsi="Century Gothic" w:cs="Arial"/>
          <w:szCs w:val="22"/>
        </w:rPr>
      </w:pPr>
      <w:r w:rsidRPr="008C385A">
        <w:rPr>
          <w:rFonts w:ascii="Century Gothic" w:hAnsi="Century Gothic" w:cs="Arial"/>
          <w:szCs w:val="22"/>
        </w:rPr>
        <w:lastRenderedPageBreak/>
        <w:t>Place</w:t>
      </w:r>
      <w:proofErr w:type="gramStart"/>
      <w:r w:rsidRPr="008C385A">
        <w:rPr>
          <w:rFonts w:ascii="Century Gothic" w:hAnsi="Century Gothic" w:cs="Arial"/>
          <w:szCs w:val="22"/>
        </w:rPr>
        <w:t>:..................</w:t>
      </w:r>
      <w:proofErr w:type="gramEnd"/>
    </w:p>
    <w:p w:rsidR="000B01C2" w:rsidRPr="008C385A" w:rsidRDefault="000B01C2" w:rsidP="008C385A">
      <w:pPr>
        <w:pStyle w:val="NormalWeb"/>
        <w:spacing w:line="276" w:lineRule="auto"/>
        <w:rPr>
          <w:rFonts w:ascii="Century Gothic" w:hAnsi="Century Gothic" w:cs="Arial"/>
          <w:szCs w:val="22"/>
        </w:rPr>
      </w:pPr>
      <w:r w:rsidRPr="008C385A">
        <w:rPr>
          <w:rFonts w:ascii="Century Gothic" w:hAnsi="Century Gothic" w:cs="Arial"/>
          <w:szCs w:val="22"/>
        </w:rPr>
        <w:t>Dated</w:t>
      </w:r>
      <w:proofErr w:type="gramStart"/>
      <w:r w:rsidRPr="008C385A">
        <w:rPr>
          <w:rFonts w:ascii="Century Gothic" w:hAnsi="Century Gothic" w:cs="Arial"/>
          <w:szCs w:val="22"/>
        </w:rPr>
        <w:t>:..................</w:t>
      </w:r>
      <w:proofErr w:type="gramEnd"/>
    </w:p>
    <w:p w:rsidR="000B01C2" w:rsidRPr="008C385A" w:rsidRDefault="000B01C2" w:rsidP="008C385A">
      <w:pPr>
        <w:pStyle w:val="NormalWeb"/>
        <w:spacing w:line="276" w:lineRule="auto"/>
        <w:jc w:val="center"/>
        <w:rPr>
          <w:rFonts w:ascii="Century Gothic" w:hAnsi="Century Gothic" w:cs="Arial"/>
          <w:b/>
          <w:bCs/>
          <w:szCs w:val="22"/>
        </w:rPr>
      </w:pPr>
      <w:proofErr w:type="gramStart"/>
      <w:r w:rsidRPr="008C385A">
        <w:rPr>
          <w:rFonts w:ascii="Century Gothic" w:hAnsi="Century Gothic" w:cs="Arial"/>
          <w:b/>
          <w:bCs/>
          <w:szCs w:val="22"/>
        </w:rPr>
        <w:t>case</w:t>
      </w:r>
      <w:proofErr w:type="gramEnd"/>
      <w:r w:rsidRPr="008C385A">
        <w:rPr>
          <w:rFonts w:ascii="Century Gothic" w:hAnsi="Century Gothic" w:cs="Arial"/>
          <w:b/>
          <w:bCs/>
          <w:szCs w:val="22"/>
        </w:rPr>
        <w:t xml:space="preserve"> law</w:t>
      </w:r>
    </w:p>
    <w:p w:rsidR="000B01C2" w:rsidRPr="008C385A" w:rsidRDefault="000B01C2" w:rsidP="008C385A">
      <w:pPr>
        <w:pStyle w:val="NormalWeb"/>
        <w:spacing w:line="276" w:lineRule="auto"/>
        <w:jc w:val="both"/>
        <w:rPr>
          <w:rFonts w:ascii="Century Gothic" w:hAnsi="Century Gothic" w:cs="Arial"/>
          <w:b/>
          <w:bCs/>
          <w:i/>
          <w:iCs/>
          <w:szCs w:val="22"/>
        </w:rPr>
      </w:pPr>
      <w:r w:rsidRPr="008C385A">
        <w:rPr>
          <w:rFonts w:ascii="Century Gothic" w:hAnsi="Century Gothic" w:cs="Arial"/>
          <w:b/>
          <w:bCs/>
          <w:i/>
          <w:iCs/>
          <w:szCs w:val="22"/>
        </w:rPr>
        <w:t>Order 21 Rule 97</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LIMITATION FOR PROCEEDINGS UNDER THE RULE</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Article 167 of the Limitation Act gives a right to the decree-holder to initiate proceedings under this Rule within 30 days from the date of resistance. The law does not contemplate removal of cause of action or </w:t>
      </w:r>
      <w:proofErr w:type="spellStart"/>
      <w:r w:rsidRPr="008C385A">
        <w:rPr>
          <w:rFonts w:ascii="Century Gothic" w:hAnsi="Century Gothic" w:cs="Arial"/>
          <w:szCs w:val="22"/>
        </w:rPr>
        <w:t>extention</w:t>
      </w:r>
      <w:proofErr w:type="spellEnd"/>
      <w:r w:rsidRPr="008C385A">
        <w:rPr>
          <w:rFonts w:ascii="Century Gothic" w:hAnsi="Century Gothic" w:cs="Arial"/>
          <w:szCs w:val="22"/>
        </w:rPr>
        <w:t xml:space="preserve"> of limitation for initiating a proceeding under this Rule merely by putting second or any number of subsequent applications being resisted every time by the same person and initiating a proceeding within 30 days of the second or the last resistance1.</w:t>
      </w:r>
    </w:p>
    <w:p w:rsidR="000B01C2" w:rsidRPr="008C385A" w:rsidRDefault="000B01C2" w:rsidP="008C385A">
      <w:pPr>
        <w:pStyle w:val="NormalWeb"/>
        <w:spacing w:line="276" w:lineRule="auto"/>
        <w:jc w:val="both"/>
        <w:rPr>
          <w:rFonts w:ascii="Century Gothic" w:hAnsi="Century Gothic" w:cs="Arial"/>
          <w:b/>
          <w:bCs/>
          <w:szCs w:val="22"/>
        </w:rPr>
      </w:pPr>
      <w:proofErr w:type="gramStart"/>
      <w:r w:rsidRPr="008C385A">
        <w:rPr>
          <w:rFonts w:ascii="Century Gothic" w:hAnsi="Century Gothic" w:cs="Arial"/>
          <w:b/>
          <w:bCs/>
          <w:szCs w:val="22"/>
        </w:rPr>
        <w:t>LIMITATION IN CASE OF TWO SUCCESSIVE OBSTRUCTIONS.</w:t>
      </w:r>
      <w:proofErr w:type="gramEnd"/>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What Article 129 of the Limitation Act of 1983 does is to bar the making of an application about the resistance or obstruction which was made more than 30 days </w:t>
      </w:r>
      <w:proofErr w:type="gramStart"/>
      <w:r w:rsidRPr="008C385A">
        <w:rPr>
          <w:rFonts w:ascii="Century Gothic" w:hAnsi="Century Gothic" w:cs="Arial"/>
          <w:szCs w:val="22"/>
        </w:rPr>
        <w:t>ago.</w:t>
      </w:r>
      <w:proofErr w:type="gramEnd"/>
      <w:r w:rsidRPr="008C385A">
        <w:rPr>
          <w:rFonts w:ascii="Century Gothic" w:hAnsi="Century Gothic" w:cs="Arial"/>
          <w:szCs w:val="22"/>
        </w:rPr>
        <w:t xml:space="preserve"> If a second obstruction is made, the complaint is not about the first obstruction but is about the second obstruction and since the law allows the decree-holder to make such an application, it cannot be said that the provisions of Article 129 are made nugatory2.</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 xml:space="preserve">WHAT SHOULD BE STARTING POINT OF </w:t>
      </w:r>
      <w:proofErr w:type="gramStart"/>
      <w:r w:rsidRPr="008C385A">
        <w:rPr>
          <w:rFonts w:ascii="Century Gothic" w:hAnsi="Century Gothic" w:cs="Arial"/>
          <w:b/>
          <w:bCs/>
          <w:szCs w:val="22"/>
        </w:rPr>
        <w:t>LIMITATION.</w:t>
      </w:r>
      <w:proofErr w:type="gramEnd"/>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Each obstruction made in execution of warrant for delivery of possession provides a fresh cause of action for filing an application under this Rule3.</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APPLICABILITY OF THE RULE</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What is required to be shown in order to maintain an obstruction to delivery of property is really possession of the person so obstructing. But proof of such possession would be of no avail unless it is further established that possession was not obtained from or under the judgment-debtor, for if it be otherwise, it would naturally be subject to the result of the suit. Any transaction during pendency of the suit would be hit by the rule of his </w:t>
      </w:r>
      <w:proofErr w:type="spellStart"/>
      <w:r w:rsidRPr="008C385A">
        <w:rPr>
          <w:rFonts w:ascii="Century Gothic" w:hAnsi="Century Gothic" w:cs="Arial"/>
          <w:szCs w:val="22"/>
        </w:rPr>
        <w:t>pendens</w:t>
      </w:r>
      <w:proofErr w:type="spellEnd"/>
      <w:r w:rsidRPr="008C385A">
        <w:rPr>
          <w:rFonts w:ascii="Century Gothic" w:hAnsi="Century Gothic" w:cs="Arial"/>
          <w:szCs w:val="22"/>
        </w:rPr>
        <w:t xml:space="preserve"> and therefore possession of person obstructing, based upon his coming into possession </w:t>
      </w:r>
      <w:proofErr w:type="spellStart"/>
      <w:r w:rsidRPr="008C385A">
        <w:rPr>
          <w:rFonts w:ascii="Century Gothic" w:hAnsi="Century Gothic" w:cs="Arial"/>
          <w:i/>
          <w:iCs/>
          <w:szCs w:val="22"/>
        </w:rPr>
        <w:t>pendente</w:t>
      </w:r>
      <w:proofErr w:type="spellEnd"/>
      <w:r w:rsidRPr="008C385A">
        <w:rPr>
          <w:rFonts w:ascii="Century Gothic" w:hAnsi="Century Gothic" w:cs="Arial"/>
          <w:i/>
          <w:iCs/>
          <w:szCs w:val="22"/>
        </w:rPr>
        <w:t xml:space="preserve"> lite, </w:t>
      </w:r>
      <w:r w:rsidRPr="008C385A">
        <w:rPr>
          <w:rFonts w:ascii="Century Gothic" w:hAnsi="Century Gothic" w:cs="Arial"/>
          <w:szCs w:val="22"/>
        </w:rPr>
        <w:t xml:space="preserve">would </w:t>
      </w:r>
      <w:r w:rsidRPr="008C385A">
        <w:rPr>
          <w:rFonts w:ascii="Century Gothic" w:hAnsi="Century Gothic" w:cs="Arial"/>
          <w:szCs w:val="22"/>
        </w:rPr>
        <w:lastRenderedPageBreak/>
        <w:t>of course be not sufficient. That is why what has to be shown is independent possession4.</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If an order is passed by an executing Court after 1st February 1977 disposing of an application under this Rule which was pending on that date, the order passed by the executing Court is appealable under the provisions of the amended Code and the aggrieved party has no right to file a suit under the provisions of the Code as it stood before the amendment5.</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APPEAL AGAINST ORDER</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 xml:space="preserve">Order under Rule 97 in accordance with Rule 98 is only appealable, </w:t>
      </w:r>
      <w:r w:rsidRPr="008C385A">
        <w:rPr>
          <w:rFonts w:ascii="Century Gothic" w:hAnsi="Century Gothic" w:cs="Arial"/>
          <w:i/>
          <w:iCs/>
          <w:szCs w:val="22"/>
        </w:rPr>
        <w:t xml:space="preserve">and </w:t>
      </w:r>
      <w:r w:rsidRPr="008C385A">
        <w:rPr>
          <w:rFonts w:ascii="Century Gothic" w:hAnsi="Century Gothic" w:cs="Arial"/>
          <w:szCs w:val="22"/>
        </w:rPr>
        <w:t>revision is not competent6.</w:t>
      </w:r>
    </w:p>
    <w:p w:rsidR="000B01C2" w:rsidRPr="008C385A" w:rsidRDefault="000B01C2" w:rsidP="008C385A">
      <w:pPr>
        <w:pStyle w:val="NormalWeb"/>
        <w:spacing w:line="276" w:lineRule="auto"/>
        <w:jc w:val="both"/>
        <w:rPr>
          <w:rFonts w:ascii="Century Gothic" w:hAnsi="Century Gothic" w:cs="Arial"/>
          <w:b/>
          <w:bCs/>
          <w:szCs w:val="22"/>
        </w:rPr>
      </w:pPr>
      <w:proofErr w:type="gramStart"/>
      <w:r w:rsidRPr="008C385A">
        <w:rPr>
          <w:rFonts w:ascii="Century Gothic" w:hAnsi="Century Gothic" w:cs="Arial"/>
          <w:b/>
          <w:bCs/>
          <w:szCs w:val="22"/>
        </w:rPr>
        <w:t>NON-MAINTAINABILITY OF OBJECTION BY MINOR SON OF JUDGMENT-DEBTOR.</w:t>
      </w:r>
      <w:proofErr w:type="gramEnd"/>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Where the suit for eviction had been decreed and the decree became final, the objection filed by a minor son of the judgment-debtor before execution of the decree would not be maintainable7.</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EXECUTION PROCEEDINGS</w:t>
      </w:r>
    </w:p>
    <w:p w:rsidR="000B01C2" w:rsidRPr="008C385A" w:rsidRDefault="000B01C2" w:rsidP="008C385A">
      <w:pPr>
        <w:pStyle w:val="NormalWeb"/>
        <w:spacing w:line="276" w:lineRule="auto"/>
        <w:jc w:val="both"/>
        <w:rPr>
          <w:rFonts w:ascii="Century Gothic" w:hAnsi="Century Gothic" w:cs="Arial"/>
          <w:b/>
          <w:bCs/>
          <w:i/>
          <w:iCs/>
          <w:szCs w:val="22"/>
        </w:rPr>
      </w:pPr>
      <w:r w:rsidRPr="008C385A">
        <w:rPr>
          <w:rFonts w:ascii="Century Gothic" w:hAnsi="Century Gothic" w:cs="Arial"/>
          <w:b/>
          <w:bCs/>
          <w:i/>
          <w:iCs/>
          <w:szCs w:val="22"/>
        </w:rPr>
        <w:t>Order 21 Rule 97</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The suit in respect of same subject matter of property filed after intimation of execution proceedings by appellant who is not a party to the decree is not maintainable.8</w:t>
      </w:r>
    </w:p>
    <w:p w:rsidR="000B01C2" w:rsidRPr="008C385A" w:rsidRDefault="000B01C2" w:rsidP="008C385A">
      <w:pPr>
        <w:pStyle w:val="NormalWeb"/>
        <w:spacing w:line="276" w:lineRule="auto"/>
        <w:jc w:val="both"/>
        <w:rPr>
          <w:rFonts w:ascii="Century Gothic" w:hAnsi="Century Gothic" w:cs="Arial"/>
          <w:b/>
          <w:bCs/>
          <w:szCs w:val="22"/>
        </w:rPr>
      </w:pPr>
      <w:r w:rsidRPr="008C385A">
        <w:rPr>
          <w:rFonts w:ascii="Century Gothic" w:hAnsi="Century Gothic" w:cs="Arial"/>
          <w:b/>
          <w:bCs/>
          <w:szCs w:val="22"/>
        </w:rPr>
        <w:t>RECORDING OF COMPROMISE</w:t>
      </w:r>
    </w:p>
    <w:p w:rsidR="000B01C2" w:rsidRPr="008C385A" w:rsidRDefault="000B01C2" w:rsidP="008C385A">
      <w:pPr>
        <w:pStyle w:val="NormalWeb"/>
        <w:spacing w:line="276" w:lineRule="auto"/>
        <w:jc w:val="both"/>
        <w:rPr>
          <w:rFonts w:ascii="Century Gothic" w:hAnsi="Century Gothic" w:cs="Arial"/>
          <w:szCs w:val="22"/>
        </w:rPr>
      </w:pPr>
      <w:r w:rsidRPr="008C385A">
        <w:rPr>
          <w:rFonts w:ascii="Century Gothic" w:hAnsi="Century Gothic" w:cs="Arial"/>
          <w:szCs w:val="22"/>
        </w:rPr>
        <w:t>The order dismissing the execution petition as withdrawn cannot be taken as recording of the compromise by the executing court.9</w:t>
      </w:r>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t xml:space="preserve">1. Smt. </w:t>
      </w:r>
      <w:proofErr w:type="spellStart"/>
      <w:r w:rsidRPr="008C385A">
        <w:rPr>
          <w:rFonts w:ascii="Century Gothic" w:hAnsi="Century Gothic" w:cs="Arial"/>
          <w:szCs w:val="22"/>
        </w:rPr>
        <w:t>Madora</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Bibi</w:t>
      </w:r>
      <w:proofErr w:type="spellEnd"/>
      <w:r w:rsidRPr="008C385A">
        <w:rPr>
          <w:rFonts w:ascii="Century Gothic" w:hAnsi="Century Gothic" w:cs="Arial"/>
          <w:szCs w:val="22"/>
        </w:rPr>
        <w:t xml:space="preserve"> v. </w:t>
      </w:r>
      <w:proofErr w:type="spellStart"/>
      <w:r w:rsidRPr="008C385A">
        <w:rPr>
          <w:rFonts w:ascii="Century Gothic" w:hAnsi="Century Gothic" w:cs="Arial"/>
          <w:szCs w:val="22"/>
        </w:rPr>
        <w:t>Mohd</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Mateen</w:t>
      </w:r>
      <w:proofErr w:type="spellEnd"/>
      <w:r w:rsidRPr="008C385A">
        <w:rPr>
          <w:rFonts w:ascii="Century Gothic" w:hAnsi="Century Gothic" w:cs="Arial"/>
          <w:szCs w:val="22"/>
        </w:rPr>
        <w:t>, A. I. R. 1980 All.</w:t>
      </w:r>
      <w:proofErr w:type="gramEnd"/>
      <w:r w:rsidRPr="008C385A">
        <w:rPr>
          <w:rFonts w:ascii="Century Gothic" w:hAnsi="Century Gothic" w:cs="Arial"/>
          <w:szCs w:val="22"/>
        </w:rPr>
        <w:t xml:space="preserve"> </w:t>
      </w:r>
      <w:proofErr w:type="gramStart"/>
      <w:r w:rsidRPr="008C385A">
        <w:rPr>
          <w:rFonts w:ascii="Century Gothic" w:hAnsi="Century Gothic" w:cs="Arial"/>
          <w:szCs w:val="22"/>
        </w:rPr>
        <w:t>206: 1980 (6) All.</w:t>
      </w:r>
      <w:proofErr w:type="gramEnd"/>
      <w:r w:rsidRPr="008C385A">
        <w:rPr>
          <w:rFonts w:ascii="Century Gothic" w:hAnsi="Century Gothic" w:cs="Arial"/>
          <w:szCs w:val="22"/>
        </w:rPr>
        <w:t xml:space="preserve"> L. R. 246.</w:t>
      </w:r>
    </w:p>
    <w:p w:rsidR="000B01C2" w:rsidRPr="008C385A" w:rsidRDefault="000B01C2" w:rsidP="008C385A">
      <w:pPr>
        <w:pStyle w:val="NormalWeb"/>
        <w:spacing w:line="276" w:lineRule="auto"/>
        <w:ind w:left="1440"/>
        <w:rPr>
          <w:rFonts w:ascii="Century Gothic" w:hAnsi="Century Gothic" w:cs="Arial"/>
          <w:szCs w:val="22"/>
        </w:rPr>
      </w:pPr>
      <w:r w:rsidRPr="008C385A">
        <w:rPr>
          <w:rFonts w:ascii="Century Gothic" w:hAnsi="Century Gothic" w:cs="Arial"/>
          <w:szCs w:val="22"/>
        </w:rPr>
        <w:t xml:space="preserve">2. </w:t>
      </w:r>
      <w:proofErr w:type="spellStart"/>
      <w:r w:rsidRPr="008C385A">
        <w:rPr>
          <w:rFonts w:ascii="Century Gothic" w:hAnsi="Century Gothic" w:cs="Arial"/>
          <w:szCs w:val="22"/>
        </w:rPr>
        <w:t>Parmeswaran</w:t>
      </w:r>
      <w:proofErr w:type="spellEnd"/>
      <w:r w:rsidRPr="008C385A">
        <w:rPr>
          <w:rFonts w:ascii="Century Gothic" w:hAnsi="Century Gothic" w:cs="Arial"/>
          <w:szCs w:val="22"/>
        </w:rPr>
        <w:t xml:space="preserve"> v. Kumara </w:t>
      </w:r>
      <w:proofErr w:type="spellStart"/>
      <w:r w:rsidRPr="008C385A">
        <w:rPr>
          <w:rFonts w:ascii="Century Gothic" w:hAnsi="Century Gothic" w:cs="Arial"/>
          <w:szCs w:val="22"/>
        </w:rPr>
        <w:t>Pillai</w:t>
      </w:r>
      <w:proofErr w:type="spellEnd"/>
      <w:r w:rsidRPr="008C385A">
        <w:rPr>
          <w:rFonts w:ascii="Century Gothic" w:hAnsi="Century Gothic" w:cs="Arial"/>
          <w:szCs w:val="22"/>
        </w:rPr>
        <w:t>, A. I. R. 1981 Ker. 29.</w:t>
      </w:r>
    </w:p>
    <w:p w:rsidR="000B01C2" w:rsidRPr="008C385A" w:rsidRDefault="000B01C2" w:rsidP="008C385A">
      <w:pPr>
        <w:pStyle w:val="NormalWeb"/>
        <w:spacing w:line="276" w:lineRule="auto"/>
        <w:ind w:left="1440"/>
        <w:rPr>
          <w:rFonts w:ascii="Century Gothic" w:hAnsi="Century Gothic" w:cs="Arial"/>
          <w:szCs w:val="22"/>
        </w:rPr>
      </w:pPr>
      <w:r w:rsidRPr="008C385A">
        <w:rPr>
          <w:rFonts w:ascii="Century Gothic" w:hAnsi="Century Gothic" w:cs="Arial"/>
          <w:szCs w:val="22"/>
        </w:rPr>
        <w:t xml:space="preserve">3. Narayan and another v. Smt. </w:t>
      </w:r>
      <w:proofErr w:type="spellStart"/>
      <w:r w:rsidRPr="008C385A">
        <w:rPr>
          <w:rFonts w:ascii="Century Gothic" w:hAnsi="Century Gothic" w:cs="Arial"/>
          <w:szCs w:val="22"/>
        </w:rPr>
        <w:t>Kalyan</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Bai</w:t>
      </w:r>
      <w:proofErr w:type="spellEnd"/>
      <w:r w:rsidRPr="008C385A">
        <w:rPr>
          <w:rFonts w:ascii="Century Gothic" w:hAnsi="Century Gothic" w:cs="Arial"/>
          <w:szCs w:val="22"/>
        </w:rPr>
        <w:t>, (Raj. H. C</w:t>
      </w:r>
      <w:proofErr w:type="gramStart"/>
      <w:r w:rsidRPr="008C385A">
        <w:rPr>
          <w:rFonts w:ascii="Century Gothic" w:hAnsi="Century Gothic" w:cs="Arial"/>
          <w:szCs w:val="22"/>
        </w:rPr>
        <w:t>. )</w:t>
      </w:r>
      <w:proofErr w:type="gramEnd"/>
      <w:r w:rsidRPr="008C385A">
        <w:rPr>
          <w:rFonts w:ascii="Century Gothic" w:hAnsi="Century Gothic" w:cs="Arial"/>
          <w:szCs w:val="22"/>
        </w:rPr>
        <w:t xml:space="preserve"> </w:t>
      </w:r>
      <w:proofErr w:type="gramStart"/>
      <w:r w:rsidRPr="008C385A">
        <w:rPr>
          <w:rFonts w:ascii="Century Gothic" w:hAnsi="Century Gothic" w:cs="Arial"/>
          <w:szCs w:val="22"/>
        </w:rPr>
        <w:t>1985 (2) C. C. C. 584.</w:t>
      </w:r>
      <w:proofErr w:type="gramEnd"/>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lastRenderedPageBreak/>
        <w:t xml:space="preserve">4. </w:t>
      </w:r>
      <w:proofErr w:type="spellStart"/>
      <w:r w:rsidRPr="008C385A">
        <w:rPr>
          <w:rFonts w:ascii="Century Gothic" w:hAnsi="Century Gothic" w:cs="Arial"/>
          <w:szCs w:val="22"/>
        </w:rPr>
        <w:t>Raghavan</w:t>
      </w:r>
      <w:proofErr w:type="spellEnd"/>
      <w:r w:rsidRPr="008C385A">
        <w:rPr>
          <w:rFonts w:ascii="Century Gothic" w:hAnsi="Century Gothic" w:cs="Arial"/>
          <w:szCs w:val="22"/>
        </w:rPr>
        <w:t xml:space="preserve"> Nair v. </w:t>
      </w:r>
      <w:proofErr w:type="spellStart"/>
      <w:r w:rsidRPr="008C385A">
        <w:rPr>
          <w:rFonts w:ascii="Century Gothic" w:hAnsi="Century Gothic" w:cs="Arial"/>
          <w:szCs w:val="22"/>
        </w:rPr>
        <w:t>Bhagyalakshmi</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Amma</w:t>
      </w:r>
      <w:proofErr w:type="spellEnd"/>
      <w:r w:rsidRPr="008C385A">
        <w:rPr>
          <w:rFonts w:ascii="Century Gothic" w:hAnsi="Century Gothic" w:cs="Arial"/>
          <w:szCs w:val="22"/>
        </w:rPr>
        <w:t>, A. I. R. 1972 Ker.</w:t>
      </w:r>
      <w:proofErr w:type="gramEnd"/>
      <w:r w:rsidRPr="008C385A">
        <w:rPr>
          <w:rFonts w:ascii="Century Gothic" w:hAnsi="Century Gothic" w:cs="Arial"/>
          <w:szCs w:val="22"/>
        </w:rPr>
        <w:t xml:space="preserve"> 125: 1972 Ker. L. T. 339.</w:t>
      </w:r>
    </w:p>
    <w:p w:rsidR="000B01C2" w:rsidRPr="008C385A" w:rsidRDefault="000B01C2" w:rsidP="008C385A">
      <w:pPr>
        <w:pStyle w:val="NormalWeb"/>
        <w:spacing w:line="276" w:lineRule="auto"/>
        <w:ind w:left="1440"/>
        <w:rPr>
          <w:rFonts w:ascii="Century Gothic" w:hAnsi="Century Gothic" w:cs="Arial"/>
          <w:szCs w:val="22"/>
        </w:rPr>
      </w:pPr>
      <w:r w:rsidRPr="008C385A">
        <w:rPr>
          <w:rFonts w:ascii="Century Gothic" w:hAnsi="Century Gothic" w:cs="Arial"/>
          <w:szCs w:val="22"/>
        </w:rPr>
        <w:t xml:space="preserve">5. </w:t>
      </w:r>
      <w:proofErr w:type="spellStart"/>
      <w:r w:rsidRPr="008C385A">
        <w:rPr>
          <w:rFonts w:ascii="Century Gothic" w:hAnsi="Century Gothic" w:cs="Arial"/>
          <w:szCs w:val="22"/>
        </w:rPr>
        <w:t>Dattatray</w:t>
      </w:r>
      <w:proofErr w:type="spellEnd"/>
      <w:r w:rsidRPr="008C385A">
        <w:rPr>
          <w:rFonts w:ascii="Century Gothic" w:hAnsi="Century Gothic" w:cs="Arial"/>
          <w:szCs w:val="22"/>
        </w:rPr>
        <w:t xml:space="preserve"> v. </w:t>
      </w:r>
      <w:proofErr w:type="spellStart"/>
      <w:r w:rsidRPr="008C385A">
        <w:rPr>
          <w:rFonts w:ascii="Century Gothic" w:hAnsi="Century Gothic" w:cs="Arial"/>
          <w:szCs w:val="22"/>
        </w:rPr>
        <w:t>Mangal</w:t>
      </w:r>
      <w:proofErr w:type="spellEnd"/>
      <w:r w:rsidRPr="008C385A">
        <w:rPr>
          <w:rFonts w:ascii="Century Gothic" w:hAnsi="Century Gothic" w:cs="Arial"/>
          <w:szCs w:val="22"/>
        </w:rPr>
        <w:t>, A. I. R. 1983 M. P. 82: 1983 M. P. L. J. 23: 1983 Jab. L. J. 242.</w:t>
      </w:r>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t xml:space="preserve">6. Smt. </w:t>
      </w:r>
      <w:proofErr w:type="spellStart"/>
      <w:r w:rsidRPr="008C385A">
        <w:rPr>
          <w:rFonts w:ascii="Century Gothic" w:hAnsi="Century Gothic" w:cs="Arial"/>
          <w:szCs w:val="22"/>
        </w:rPr>
        <w:t>Santilal</w:t>
      </w:r>
      <w:proofErr w:type="spellEnd"/>
      <w:r w:rsidRPr="008C385A">
        <w:rPr>
          <w:rFonts w:ascii="Century Gothic" w:hAnsi="Century Gothic" w:cs="Arial"/>
          <w:szCs w:val="22"/>
        </w:rPr>
        <w:t xml:space="preserve"> Paul v. </w:t>
      </w:r>
      <w:proofErr w:type="spellStart"/>
      <w:r w:rsidRPr="008C385A">
        <w:rPr>
          <w:rFonts w:ascii="Century Gothic" w:hAnsi="Century Gothic" w:cs="Arial"/>
          <w:szCs w:val="22"/>
        </w:rPr>
        <w:t>Nandkishore</w:t>
      </w:r>
      <w:proofErr w:type="spellEnd"/>
      <w:r w:rsidRPr="008C385A">
        <w:rPr>
          <w:rFonts w:ascii="Century Gothic" w:hAnsi="Century Gothic" w:cs="Arial"/>
          <w:szCs w:val="22"/>
        </w:rPr>
        <w:t xml:space="preserve"> Mukherjee, A. I. R. 1981 Cal. 219: (1981) 1 C. H. N. 401: (1981) 85 C. W. N 497.</w:t>
      </w:r>
      <w:proofErr w:type="gramEnd"/>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t xml:space="preserve">7. </w:t>
      </w:r>
      <w:proofErr w:type="spellStart"/>
      <w:r w:rsidRPr="008C385A">
        <w:rPr>
          <w:rFonts w:ascii="Century Gothic" w:hAnsi="Century Gothic" w:cs="Arial"/>
          <w:szCs w:val="22"/>
        </w:rPr>
        <w:t>Kishan</w:t>
      </w:r>
      <w:proofErr w:type="spellEnd"/>
      <w:r w:rsidRPr="008C385A">
        <w:rPr>
          <w:rFonts w:ascii="Century Gothic" w:hAnsi="Century Gothic" w:cs="Arial"/>
          <w:szCs w:val="22"/>
        </w:rPr>
        <w:t xml:space="preserve"> Kumar </w:t>
      </w:r>
      <w:proofErr w:type="spellStart"/>
      <w:r w:rsidRPr="008C385A">
        <w:rPr>
          <w:rFonts w:ascii="Century Gothic" w:hAnsi="Century Gothic" w:cs="Arial"/>
          <w:szCs w:val="22"/>
        </w:rPr>
        <w:t>Kanaujia</w:t>
      </w:r>
      <w:proofErr w:type="spellEnd"/>
      <w:r w:rsidRPr="008C385A">
        <w:rPr>
          <w:rFonts w:ascii="Century Gothic" w:hAnsi="Century Gothic" w:cs="Arial"/>
          <w:szCs w:val="22"/>
        </w:rPr>
        <w:t xml:space="preserve"> v. Smt. </w:t>
      </w:r>
      <w:proofErr w:type="spellStart"/>
      <w:r w:rsidRPr="008C385A">
        <w:rPr>
          <w:rFonts w:ascii="Century Gothic" w:hAnsi="Century Gothic" w:cs="Arial"/>
          <w:szCs w:val="22"/>
        </w:rPr>
        <w:t>Rakesh</w:t>
      </w:r>
      <w:proofErr w:type="spellEnd"/>
      <w:r w:rsidRPr="008C385A">
        <w:rPr>
          <w:rFonts w:ascii="Century Gothic" w:hAnsi="Century Gothic" w:cs="Arial"/>
          <w:szCs w:val="22"/>
        </w:rPr>
        <w:t xml:space="preserve"> Gupta, A. I. R. 1983 All.</w:t>
      </w:r>
      <w:proofErr w:type="gramEnd"/>
      <w:r w:rsidRPr="008C385A">
        <w:rPr>
          <w:rFonts w:ascii="Century Gothic" w:hAnsi="Century Gothic" w:cs="Arial"/>
          <w:szCs w:val="22"/>
        </w:rPr>
        <w:t xml:space="preserve"> 256.</w:t>
      </w:r>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t xml:space="preserve">8. </w:t>
      </w:r>
      <w:proofErr w:type="spellStart"/>
      <w:r w:rsidRPr="008C385A">
        <w:rPr>
          <w:rFonts w:ascii="Century Gothic" w:hAnsi="Century Gothic" w:cs="Arial"/>
          <w:szCs w:val="22"/>
        </w:rPr>
        <w:t>Prasantha</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Banerji</w:t>
      </w:r>
      <w:proofErr w:type="spellEnd"/>
      <w:r w:rsidRPr="008C385A">
        <w:rPr>
          <w:rFonts w:ascii="Century Gothic" w:hAnsi="Century Gothic" w:cs="Arial"/>
          <w:szCs w:val="22"/>
        </w:rPr>
        <w:t xml:space="preserve"> v. </w:t>
      </w:r>
      <w:proofErr w:type="spellStart"/>
      <w:r w:rsidRPr="008C385A">
        <w:rPr>
          <w:rFonts w:ascii="Century Gothic" w:hAnsi="Century Gothic" w:cs="Arial"/>
          <w:szCs w:val="22"/>
        </w:rPr>
        <w:t>Pushpa</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Ashoke</w:t>
      </w:r>
      <w:proofErr w:type="spellEnd"/>
      <w:r w:rsidRPr="008C385A">
        <w:rPr>
          <w:rFonts w:ascii="Century Gothic" w:hAnsi="Century Gothic" w:cs="Arial"/>
          <w:szCs w:val="22"/>
        </w:rPr>
        <w:t xml:space="preserve"> </w:t>
      </w:r>
      <w:proofErr w:type="spellStart"/>
      <w:r w:rsidRPr="008C385A">
        <w:rPr>
          <w:rFonts w:ascii="Century Gothic" w:hAnsi="Century Gothic" w:cs="Arial"/>
          <w:szCs w:val="22"/>
        </w:rPr>
        <w:t>Chandani</w:t>
      </w:r>
      <w:proofErr w:type="spellEnd"/>
      <w:r w:rsidRPr="008C385A">
        <w:rPr>
          <w:rFonts w:ascii="Century Gothic" w:hAnsi="Century Gothic" w:cs="Arial"/>
          <w:szCs w:val="22"/>
        </w:rPr>
        <w:t>, AIR 2000 SC 3567 (2).</w:t>
      </w:r>
      <w:proofErr w:type="gramEnd"/>
    </w:p>
    <w:p w:rsidR="000B01C2" w:rsidRPr="008C385A" w:rsidRDefault="000B01C2" w:rsidP="008C385A">
      <w:pPr>
        <w:pStyle w:val="NormalWeb"/>
        <w:spacing w:line="276" w:lineRule="auto"/>
        <w:ind w:left="1440"/>
        <w:rPr>
          <w:rFonts w:ascii="Century Gothic" w:hAnsi="Century Gothic" w:cs="Arial"/>
          <w:szCs w:val="22"/>
        </w:rPr>
      </w:pPr>
      <w:proofErr w:type="gramStart"/>
      <w:r w:rsidRPr="008C385A">
        <w:rPr>
          <w:rFonts w:ascii="Century Gothic" w:hAnsi="Century Gothic" w:cs="Arial"/>
          <w:szCs w:val="22"/>
        </w:rPr>
        <w:t xml:space="preserve">9. Lakshmi Narayanan v. S. S. </w:t>
      </w:r>
      <w:proofErr w:type="spellStart"/>
      <w:r w:rsidRPr="008C385A">
        <w:rPr>
          <w:rFonts w:ascii="Century Gothic" w:hAnsi="Century Gothic" w:cs="Arial"/>
          <w:szCs w:val="22"/>
        </w:rPr>
        <w:t>Pandian</w:t>
      </w:r>
      <w:proofErr w:type="spellEnd"/>
      <w:r w:rsidRPr="008C385A">
        <w:rPr>
          <w:rFonts w:ascii="Century Gothic" w:hAnsi="Century Gothic" w:cs="Arial"/>
          <w:szCs w:val="22"/>
        </w:rPr>
        <w:t>, AIR 2000 SC 2757.</w:t>
      </w:r>
      <w:proofErr w:type="gramEnd"/>
    </w:p>
    <w:p w:rsidR="000B01C2" w:rsidRPr="008C385A" w:rsidRDefault="000B01C2" w:rsidP="008C385A">
      <w:pPr>
        <w:spacing w:line="276" w:lineRule="auto"/>
        <w:rPr>
          <w:rFonts w:ascii="Century Gothic" w:hAnsi="Century Gothic" w:cs="Arial"/>
          <w:szCs w:val="22"/>
        </w:rPr>
      </w:pPr>
    </w:p>
    <w:bookmarkEnd w:id="0"/>
    <w:p w:rsidR="007A1BA9" w:rsidRPr="008C385A" w:rsidRDefault="007A1BA9" w:rsidP="008C385A">
      <w:pPr>
        <w:spacing w:line="276" w:lineRule="auto"/>
        <w:rPr>
          <w:rFonts w:ascii="Century Gothic" w:hAnsi="Century Gothic" w:cs="Arial"/>
          <w:szCs w:val="22"/>
        </w:rPr>
      </w:pPr>
    </w:p>
    <w:sectPr w:rsidR="007A1BA9" w:rsidRPr="008C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1"/>
    <w:rsid w:val="000B01C2"/>
    <w:rsid w:val="001D1501"/>
    <w:rsid w:val="0077170C"/>
    <w:rsid w:val="007A1BA9"/>
    <w:rsid w:val="008C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C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1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C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1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5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1,%20RULE%2097,%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21, RULE 97, C P C</Template>
  <TotalTime>0</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2024-06-15T11:39:00Z</dcterms:created>
  <dcterms:modified xsi:type="dcterms:W3CDTF">2024-06-15T11:39:00Z</dcterms:modified>
</cp:coreProperties>
</file>