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95" w:rsidRPr="00CA2533" w:rsidRDefault="003C0895" w:rsidP="00CA2533">
      <w:pPr>
        <w:pStyle w:val="NormalWeb"/>
        <w:spacing w:line="276" w:lineRule="auto"/>
        <w:jc w:val="center"/>
        <w:rPr>
          <w:rFonts w:ascii="Century Gothic" w:hAnsi="Century Gothic" w:cs="Arial"/>
          <w:b/>
          <w:bCs/>
        </w:rPr>
      </w:pPr>
      <w:bookmarkStart w:id="0" w:name="_GoBack"/>
      <w:proofErr w:type="gramStart"/>
      <w:r w:rsidRPr="00CA2533">
        <w:rPr>
          <w:rFonts w:ascii="Century Gothic" w:hAnsi="Century Gothic" w:cs="Arial"/>
          <w:b/>
          <w:bCs/>
        </w:rPr>
        <w:t>APPLICATION UNDER ORDER 34, C. P. C.</w:t>
      </w:r>
      <w:proofErr w:type="gramEnd"/>
    </w:p>
    <w:p w:rsidR="003C0895" w:rsidRPr="00CA2533" w:rsidRDefault="003C0895" w:rsidP="00CA2533">
      <w:pPr>
        <w:pStyle w:val="NormalWeb"/>
        <w:spacing w:line="276" w:lineRule="auto"/>
        <w:rPr>
          <w:rFonts w:ascii="Century Gothic" w:hAnsi="Century Gothic" w:cs="Arial"/>
        </w:rPr>
      </w:pPr>
      <w:proofErr w:type="gramStart"/>
      <w:r w:rsidRPr="00CA2533">
        <w:rPr>
          <w:rFonts w:ascii="Century Gothic" w:hAnsi="Century Gothic" w:cs="Arial"/>
        </w:rPr>
        <w:t>IN THE COURT OF....................</w:t>
      </w:r>
      <w:proofErr w:type="gramEnd"/>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Suit No.............. of 19..................</w:t>
      </w:r>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C. D................................................................... Plaintiff</w:t>
      </w:r>
    </w:p>
    <w:p w:rsidR="003C0895" w:rsidRPr="00CA2533" w:rsidRDefault="003C0895" w:rsidP="00CA2533">
      <w:pPr>
        <w:pStyle w:val="NormalWeb"/>
        <w:spacing w:line="276" w:lineRule="auto"/>
        <w:jc w:val="center"/>
        <w:rPr>
          <w:rFonts w:ascii="Century Gothic" w:hAnsi="Century Gothic" w:cs="Arial"/>
          <w:i/>
          <w:iCs/>
        </w:rPr>
      </w:pPr>
      <w:proofErr w:type="gramStart"/>
      <w:r w:rsidRPr="00CA2533">
        <w:rPr>
          <w:rFonts w:ascii="Century Gothic" w:hAnsi="Century Gothic" w:cs="Arial"/>
          <w:i/>
          <w:iCs/>
        </w:rPr>
        <w:t>versus</w:t>
      </w:r>
      <w:proofErr w:type="gramEnd"/>
      <w:r w:rsidRPr="00CA2533">
        <w:rPr>
          <w:rFonts w:ascii="Century Gothic" w:hAnsi="Century Gothic" w:cs="Arial"/>
          <w:i/>
          <w:iCs/>
        </w:rPr>
        <w:t xml:space="preserve"> </w:t>
      </w:r>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C. F................................................................ Defendant</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The applicant most respectfully submits as under: —</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1. That a preliminary decree for redemption of the mortgaged property was passed by the Court on............................ (</w:t>
      </w:r>
      <w:proofErr w:type="gramStart"/>
      <w:r w:rsidRPr="00CA2533">
        <w:rPr>
          <w:rFonts w:ascii="Century Gothic" w:hAnsi="Century Gothic" w:cs="Arial"/>
        </w:rPr>
        <w:t>date</w:t>
      </w:r>
      <w:proofErr w:type="gramEnd"/>
      <w:r w:rsidRPr="00CA2533">
        <w:rPr>
          <w:rFonts w:ascii="Century Gothic" w:hAnsi="Century Gothic" w:cs="Arial"/>
        </w:rPr>
        <w:t xml:space="preserve">) in </w:t>
      </w:r>
      <w:proofErr w:type="spellStart"/>
      <w:r w:rsidRPr="00CA2533">
        <w:rPr>
          <w:rFonts w:ascii="Century Gothic" w:hAnsi="Century Gothic" w:cs="Arial"/>
        </w:rPr>
        <w:t>favour</w:t>
      </w:r>
      <w:proofErr w:type="spellEnd"/>
      <w:r w:rsidRPr="00CA2533">
        <w:rPr>
          <w:rFonts w:ascii="Century Gothic" w:hAnsi="Century Gothic" w:cs="Arial"/>
        </w:rPr>
        <w:t xml:space="preserve"> of the plaintiff.</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 xml:space="preserve">2. That under the said decree the plaintiff was liable to pay </w:t>
      </w:r>
      <w:proofErr w:type="spellStart"/>
      <w:r w:rsidRPr="00CA2533">
        <w:rPr>
          <w:rFonts w:ascii="Century Gothic" w:hAnsi="Century Gothic" w:cs="Arial"/>
        </w:rPr>
        <w:t>Rs</w:t>
      </w:r>
      <w:proofErr w:type="spellEnd"/>
      <w:r w:rsidRPr="00CA2533">
        <w:rPr>
          <w:rFonts w:ascii="Century Gothic" w:hAnsi="Century Gothic" w:cs="Arial"/>
        </w:rPr>
        <w:t>............................. to the defendant by............................ (</w:t>
      </w:r>
      <w:proofErr w:type="gramStart"/>
      <w:r w:rsidRPr="00CA2533">
        <w:rPr>
          <w:rFonts w:ascii="Century Gothic" w:hAnsi="Century Gothic" w:cs="Arial"/>
        </w:rPr>
        <w:t>date</w:t>
      </w:r>
      <w:proofErr w:type="gramEnd"/>
      <w:r w:rsidRPr="00CA2533">
        <w:rPr>
          <w:rFonts w:ascii="Century Gothic" w:hAnsi="Century Gothic" w:cs="Arial"/>
        </w:rPr>
        <w:t>)</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3. That the plaintiff (applicant) has paid all amounts due from him under the decree aforesaid in the court vide receipt annexed to the application.</w:t>
      </w:r>
    </w:p>
    <w:p w:rsidR="003C0895" w:rsidRPr="00CA2533" w:rsidRDefault="003C0895" w:rsidP="00CA2533">
      <w:pPr>
        <w:pStyle w:val="NormalWeb"/>
        <w:spacing w:line="276" w:lineRule="auto"/>
        <w:jc w:val="center"/>
        <w:rPr>
          <w:rFonts w:ascii="Century Gothic" w:hAnsi="Century Gothic" w:cs="Arial"/>
          <w:b/>
          <w:bCs/>
        </w:rPr>
      </w:pPr>
      <w:r w:rsidRPr="00CA2533">
        <w:rPr>
          <w:rFonts w:ascii="Century Gothic" w:hAnsi="Century Gothic" w:cs="Arial"/>
          <w:b/>
          <w:bCs/>
        </w:rPr>
        <w:t>PRAYER</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It is therefore most respectfully prayed that the mortgaged property or part thereof has been sold in pursuance of a decree. The plaintiff must make a payment in addition to the amount due under the decree together with a sum equal to ............................ % of the amount of the purchase money paid into the court by the purchaser.</w:t>
      </w:r>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It is accordingly prayed.</w:t>
      </w:r>
    </w:p>
    <w:p w:rsidR="003C0895" w:rsidRPr="00CA2533" w:rsidRDefault="003C0895" w:rsidP="00CA2533">
      <w:pPr>
        <w:pStyle w:val="NormalWeb"/>
        <w:spacing w:line="276" w:lineRule="auto"/>
        <w:jc w:val="right"/>
        <w:rPr>
          <w:rFonts w:ascii="Century Gothic" w:hAnsi="Century Gothic" w:cs="Arial"/>
        </w:rPr>
      </w:pPr>
      <w:r w:rsidRPr="00CA2533">
        <w:rPr>
          <w:rFonts w:ascii="Century Gothic" w:hAnsi="Century Gothic" w:cs="Arial"/>
        </w:rPr>
        <w:t xml:space="preserve">Plaintiff </w:t>
      </w:r>
    </w:p>
    <w:p w:rsidR="003C0895" w:rsidRPr="00CA2533" w:rsidRDefault="003C0895" w:rsidP="00CA2533">
      <w:pPr>
        <w:pStyle w:val="NormalWeb"/>
        <w:spacing w:line="276" w:lineRule="auto"/>
        <w:ind w:left="7200"/>
        <w:jc w:val="right"/>
        <w:rPr>
          <w:rFonts w:ascii="Century Gothic" w:hAnsi="Century Gothic" w:cs="Arial"/>
        </w:rPr>
      </w:pPr>
      <w:r w:rsidRPr="00CA2533">
        <w:rPr>
          <w:rFonts w:ascii="Century Gothic" w:hAnsi="Century Gothic" w:cs="Arial"/>
        </w:rPr>
        <w:t>Through Advocate</w:t>
      </w:r>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Place</w:t>
      </w:r>
    </w:p>
    <w:p w:rsidR="003C0895" w:rsidRPr="00CA2533" w:rsidRDefault="003C0895" w:rsidP="00CA2533">
      <w:pPr>
        <w:pStyle w:val="NormalWeb"/>
        <w:spacing w:line="276" w:lineRule="auto"/>
        <w:rPr>
          <w:rFonts w:ascii="Century Gothic" w:hAnsi="Century Gothic" w:cs="Arial"/>
        </w:rPr>
      </w:pPr>
      <w:r w:rsidRPr="00CA2533">
        <w:rPr>
          <w:rFonts w:ascii="Century Gothic" w:hAnsi="Century Gothic" w:cs="Arial"/>
        </w:rPr>
        <w:t>Dated:</w:t>
      </w:r>
    </w:p>
    <w:p w:rsidR="003C0895" w:rsidRPr="00CA2533" w:rsidRDefault="003C0895" w:rsidP="00CA2533">
      <w:pPr>
        <w:pStyle w:val="NormalWeb"/>
        <w:spacing w:line="276" w:lineRule="auto"/>
        <w:jc w:val="center"/>
        <w:rPr>
          <w:rFonts w:ascii="Century Gothic" w:hAnsi="Century Gothic" w:cs="Arial"/>
          <w:b/>
          <w:bCs/>
        </w:rPr>
      </w:pPr>
      <w:r w:rsidRPr="00CA2533">
        <w:rPr>
          <w:rFonts w:ascii="Century Gothic" w:hAnsi="Century Gothic" w:cs="Arial"/>
          <w:b/>
          <w:bCs/>
        </w:rPr>
        <w:lastRenderedPageBreak/>
        <w:t>CASE LAW</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ORDER 34, RULE 1, PARTIES TO SUITS FOR FORECLOSURE, SALE AND REDEMPTION.</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 xml:space="preserve">WHEN GUARANTOR MAY BE </w:t>
      </w:r>
      <w:proofErr w:type="gramStart"/>
      <w:r w:rsidRPr="00CA2533">
        <w:rPr>
          <w:rFonts w:ascii="Century Gothic" w:hAnsi="Century Gothic" w:cs="Arial"/>
          <w:b/>
          <w:bCs/>
        </w:rPr>
        <w:t>PROCEEDED</w:t>
      </w:r>
      <w:proofErr w:type="gramEnd"/>
      <w:r w:rsidRPr="00CA2533">
        <w:rPr>
          <w:rFonts w:ascii="Century Gothic" w:hAnsi="Century Gothic" w:cs="Arial"/>
          <w:b/>
          <w:bCs/>
        </w:rPr>
        <w:t xml:space="preserve"> AGAINST — GUIDANCE FOR.</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The decree in execution is a comprehensive decree, personally against the defendants including the respondent and also against the mortgaged property. Since</w:t>
      </w:r>
    </w:p>
    <w:p w:rsidR="003C0895" w:rsidRPr="00CA2533" w:rsidRDefault="003C0895" w:rsidP="00CA2533">
      <w:pPr>
        <w:pStyle w:val="NormalWeb"/>
        <w:spacing w:line="276" w:lineRule="auto"/>
        <w:jc w:val="both"/>
        <w:rPr>
          <w:rFonts w:ascii="Century Gothic" w:hAnsi="Century Gothic" w:cs="Arial"/>
        </w:rPr>
      </w:pPr>
      <w:proofErr w:type="gramStart"/>
      <w:r w:rsidRPr="00CA2533">
        <w:rPr>
          <w:rFonts w:ascii="Century Gothic" w:hAnsi="Century Gothic" w:cs="Arial"/>
        </w:rPr>
        <w:t>a</w:t>
      </w:r>
      <w:proofErr w:type="gramEnd"/>
      <w:r w:rsidRPr="00CA2533">
        <w:rPr>
          <w:rFonts w:ascii="Century Gothic" w:hAnsi="Century Gothic" w:cs="Arial"/>
        </w:rPr>
        <w:t xml:space="preserve"> portion of the decreed amount is covered by the mortgage, the decree-holder has to proceed against the mortgaged property first and then proceed against the guarantor.</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But where the decree-holder had proceeded against the mortgaged property and also against the principal debtor, execution against the guarantor is maintainable1.</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APPLICATION FOR REDEMPTION FILED WITHIN LIMITATION PERIOD — INTIMATION OF — ISSUED THROUGH POST — POSTMAN REPORTED OF NOT FINDING HIM IN THE VILLAGE — DISMISSAL IN DEFAULT — ON THIS POSTAL REPORT — IMPROPER.</w:t>
      </w:r>
    </w:p>
    <w:p w:rsidR="003C0895" w:rsidRPr="00CA2533" w:rsidRDefault="003C0895" w:rsidP="00CA2533">
      <w:pPr>
        <w:pStyle w:val="NormalWeb"/>
        <w:spacing w:line="276" w:lineRule="auto"/>
        <w:jc w:val="both"/>
        <w:rPr>
          <w:rFonts w:ascii="Century Gothic" w:hAnsi="Century Gothic" w:cs="Arial"/>
        </w:rPr>
      </w:pPr>
      <w:proofErr w:type="gramStart"/>
      <w:r w:rsidRPr="00CA2533">
        <w:rPr>
          <w:rFonts w:ascii="Century Gothic" w:hAnsi="Century Gothic" w:cs="Arial"/>
        </w:rPr>
        <w:t>Where the appellant had made an application for redemption within limitation period.</w:t>
      </w:r>
      <w:proofErr w:type="gramEnd"/>
      <w:r w:rsidRPr="00CA2533">
        <w:rPr>
          <w:rFonts w:ascii="Century Gothic" w:hAnsi="Century Gothic" w:cs="Arial"/>
        </w:rPr>
        <w:t xml:space="preserve"> But the postman reported as to the information issued to him through post that he was not found in the village, and the application for redemption was dismissed on this postal report. </w:t>
      </w:r>
      <w:proofErr w:type="gramStart"/>
      <w:r w:rsidRPr="00CA2533">
        <w:rPr>
          <w:rFonts w:ascii="Century Gothic" w:hAnsi="Century Gothic" w:cs="Arial"/>
        </w:rPr>
        <w:t>Held that the application for redemption would be within time in this view of the matter on disregarding the illegal order of dismissal for default.</w:t>
      </w:r>
      <w:proofErr w:type="gramEnd"/>
      <w:r w:rsidRPr="00CA2533">
        <w:rPr>
          <w:rFonts w:ascii="Century Gothic" w:hAnsi="Century Gothic" w:cs="Arial"/>
        </w:rPr>
        <w:t xml:space="preserve"> The application for redemption was directed to be taken on file for being disposed of in accordance with law treating the same as within time2.</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OUTER LIMIT FOR USUFRUCTURY MORTGAGE.</w:t>
      </w:r>
    </w:p>
    <w:p w:rsidR="003C0895" w:rsidRPr="00CA2533" w:rsidRDefault="003C0895" w:rsidP="00CA2533">
      <w:pPr>
        <w:pStyle w:val="NormalWeb"/>
        <w:spacing w:line="276" w:lineRule="auto"/>
        <w:jc w:val="both"/>
        <w:rPr>
          <w:rFonts w:ascii="Century Gothic" w:hAnsi="Century Gothic" w:cs="Arial"/>
          <w:b/>
          <w:bCs/>
          <w:i/>
          <w:iCs/>
        </w:rPr>
      </w:pPr>
      <w:r w:rsidRPr="00CA2533">
        <w:rPr>
          <w:rFonts w:ascii="Century Gothic" w:hAnsi="Century Gothic" w:cs="Arial"/>
          <w:b/>
          <w:bCs/>
          <w:i/>
          <w:iCs/>
        </w:rPr>
        <w:t>Order 34 Rules 7 and 8</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 xml:space="preserve">The order limit for </w:t>
      </w:r>
      <w:proofErr w:type="gramStart"/>
      <w:r w:rsidRPr="00CA2533">
        <w:rPr>
          <w:rFonts w:ascii="Century Gothic" w:hAnsi="Century Gothic" w:cs="Arial"/>
        </w:rPr>
        <w:t>an</w:t>
      </w:r>
      <w:proofErr w:type="gramEnd"/>
      <w:r w:rsidRPr="00CA2533">
        <w:rPr>
          <w:rFonts w:ascii="Century Gothic" w:hAnsi="Century Gothic" w:cs="Arial"/>
        </w:rPr>
        <w:t xml:space="preserve"> </w:t>
      </w:r>
      <w:proofErr w:type="spellStart"/>
      <w:r w:rsidRPr="00CA2533">
        <w:rPr>
          <w:rFonts w:ascii="Century Gothic" w:hAnsi="Century Gothic" w:cs="Arial"/>
        </w:rPr>
        <w:t>usufructuary</w:t>
      </w:r>
      <w:proofErr w:type="spellEnd"/>
      <w:r w:rsidRPr="00CA2533">
        <w:rPr>
          <w:rFonts w:ascii="Century Gothic" w:hAnsi="Century Gothic" w:cs="Arial"/>
        </w:rPr>
        <w:t xml:space="preserve"> mortgagor for making payment of the amount due under the preliminary decree is passing of the final decree or the date of confirmation of the sale3.</w:t>
      </w:r>
    </w:p>
    <w:p w:rsidR="003C0895" w:rsidRPr="00CA2533" w:rsidRDefault="003C0895" w:rsidP="00CA2533">
      <w:pPr>
        <w:pStyle w:val="NormalWeb"/>
        <w:spacing w:line="276" w:lineRule="auto"/>
        <w:jc w:val="both"/>
        <w:rPr>
          <w:rFonts w:ascii="Century Gothic" w:hAnsi="Century Gothic" w:cs="Arial"/>
          <w:b/>
          <w:bCs/>
        </w:rPr>
      </w:pPr>
      <w:proofErr w:type="gramStart"/>
      <w:r w:rsidRPr="00CA2533">
        <w:rPr>
          <w:rFonts w:ascii="Century Gothic" w:hAnsi="Century Gothic" w:cs="Arial"/>
          <w:b/>
          <w:bCs/>
        </w:rPr>
        <w:t>SCOPE OF THE RULE.</w:t>
      </w:r>
      <w:proofErr w:type="gramEnd"/>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lastRenderedPageBreak/>
        <w:t xml:space="preserve">A proceeding is a prescribed course of action for the enforcement of a legal right, e. g., </w:t>
      </w:r>
      <w:proofErr w:type="gramStart"/>
      <w:r w:rsidRPr="00CA2533">
        <w:rPr>
          <w:rFonts w:ascii="Century Gothic" w:hAnsi="Century Gothic" w:cs="Arial"/>
        </w:rPr>
        <w:t>the</w:t>
      </w:r>
      <w:proofErr w:type="gramEnd"/>
      <w:r w:rsidRPr="00CA2533">
        <w:rPr>
          <w:rFonts w:ascii="Century Gothic" w:hAnsi="Century Gothic" w:cs="Arial"/>
        </w:rPr>
        <w:t xml:space="preserve"> right of the plaintiff to apply for a final decree. Such right was to be enforced by the making of an application as prescribed by Rule 5 (3) of Order 34, when the High Court by its order stayed all further proceedings in the </w:t>
      </w:r>
      <w:proofErr w:type="gramStart"/>
      <w:r w:rsidRPr="00CA2533">
        <w:rPr>
          <w:rFonts w:ascii="Century Gothic" w:hAnsi="Century Gothic" w:cs="Arial"/>
        </w:rPr>
        <w:t>suit,</w:t>
      </w:r>
      <w:proofErr w:type="gramEnd"/>
      <w:r w:rsidRPr="00CA2533">
        <w:rPr>
          <w:rFonts w:ascii="Century Gothic" w:hAnsi="Century Gothic" w:cs="Arial"/>
        </w:rPr>
        <w:t xml:space="preserve"> the effect of it was that the action that would be taken for the passing of a final decree was also stayed. In other words, the filing of an application for a final decree, the court cannot entertain such an application4.</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APPLICABILITY OF THE RULE</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 xml:space="preserve">Order XXXIV, Rule 5 Civil Procedure Code is applicable and not the general provision of Section 148 for the jurisdiction for </w:t>
      </w:r>
      <w:proofErr w:type="spellStart"/>
      <w:r w:rsidRPr="00CA2533">
        <w:rPr>
          <w:rFonts w:ascii="Century Gothic" w:hAnsi="Century Gothic" w:cs="Arial"/>
        </w:rPr>
        <w:t>extention</w:t>
      </w:r>
      <w:proofErr w:type="spellEnd"/>
      <w:r w:rsidRPr="00CA2533">
        <w:rPr>
          <w:rFonts w:ascii="Century Gothic" w:hAnsi="Century Gothic" w:cs="Arial"/>
        </w:rPr>
        <w:t xml:space="preserve"> of time for deposit of the price of redemption5.</w:t>
      </w:r>
    </w:p>
    <w:p w:rsidR="003C0895" w:rsidRPr="00CA2533" w:rsidRDefault="003C0895" w:rsidP="00CA2533">
      <w:pPr>
        <w:pStyle w:val="NormalWeb"/>
        <w:spacing w:line="276" w:lineRule="auto"/>
        <w:jc w:val="both"/>
        <w:rPr>
          <w:rFonts w:ascii="Century Gothic" w:hAnsi="Century Gothic" w:cs="Arial"/>
          <w:b/>
          <w:bCs/>
        </w:rPr>
      </w:pPr>
      <w:proofErr w:type="gramStart"/>
      <w:r w:rsidRPr="00CA2533">
        <w:rPr>
          <w:rFonts w:ascii="Century Gothic" w:hAnsi="Century Gothic" w:cs="Arial"/>
          <w:b/>
          <w:bCs/>
        </w:rPr>
        <w:t>NECESSITY FOR FINAL DECREE.</w:t>
      </w:r>
      <w:proofErr w:type="gramEnd"/>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 xml:space="preserve">In a case where only a money decree has been passed initially a final decree under this rule is not necessary although the </w:t>
      </w:r>
      <w:proofErr w:type="spellStart"/>
      <w:r w:rsidRPr="00CA2533">
        <w:rPr>
          <w:rFonts w:ascii="Century Gothic" w:hAnsi="Century Gothic" w:cs="Arial"/>
        </w:rPr>
        <w:t>decretal</w:t>
      </w:r>
      <w:proofErr w:type="spellEnd"/>
      <w:r w:rsidRPr="00CA2533">
        <w:rPr>
          <w:rFonts w:ascii="Century Gothic" w:hAnsi="Century Gothic" w:cs="Arial"/>
        </w:rPr>
        <w:t xml:space="preserve"> amount by sale of the judgment-debtor’s property. Where however the property is charged without payment of the </w:t>
      </w:r>
      <w:proofErr w:type="spellStart"/>
      <w:r w:rsidRPr="00CA2533">
        <w:rPr>
          <w:rFonts w:ascii="Century Gothic" w:hAnsi="Century Gothic" w:cs="Arial"/>
        </w:rPr>
        <w:t>decreetal</w:t>
      </w:r>
      <w:proofErr w:type="spellEnd"/>
      <w:r w:rsidRPr="00CA2533">
        <w:rPr>
          <w:rFonts w:ascii="Century Gothic" w:hAnsi="Century Gothic" w:cs="Arial"/>
        </w:rPr>
        <w:t xml:space="preserve"> amount, the proper mode of </w:t>
      </w:r>
      <w:proofErr w:type="spellStart"/>
      <w:r w:rsidRPr="00CA2533">
        <w:rPr>
          <w:rFonts w:ascii="Century Gothic" w:hAnsi="Century Gothic" w:cs="Arial"/>
        </w:rPr>
        <w:t>realising</w:t>
      </w:r>
      <w:proofErr w:type="spellEnd"/>
      <w:r w:rsidRPr="00CA2533">
        <w:rPr>
          <w:rFonts w:ascii="Century Gothic" w:hAnsi="Century Gothic" w:cs="Arial"/>
        </w:rPr>
        <w:t xml:space="preserve"> the </w:t>
      </w:r>
      <w:proofErr w:type="spellStart"/>
      <w:r w:rsidRPr="00CA2533">
        <w:rPr>
          <w:rFonts w:ascii="Century Gothic" w:hAnsi="Century Gothic" w:cs="Arial"/>
        </w:rPr>
        <w:t>decreetal</w:t>
      </w:r>
      <w:proofErr w:type="spellEnd"/>
      <w:r w:rsidRPr="00CA2533">
        <w:rPr>
          <w:rFonts w:ascii="Century Gothic" w:hAnsi="Century Gothic" w:cs="Arial"/>
        </w:rPr>
        <w:t xml:space="preserve"> amount is to obtain a decree absolute for sale6.</w:t>
      </w:r>
    </w:p>
    <w:p w:rsidR="003C0895" w:rsidRPr="00CA2533" w:rsidRDefault="003C0895" w:rsidP="00CA2533">
      <w:pPr>
        <w:pStyle w:val="NormalWeb"/>
        <w:spacing w:line="276" w:lineRule="auto"/>
        <w:jc w:val="both"/>
        <w:rPr>
          <w:rFonts w:ascii="Century Gothic" w:hAnsi="Century Gothic" w:cs="Arial"/>
          <w:b/>
          <w:bCs/>
        </w:rPr>
      </w:pPr>
      <w:proofErr w:type="gramStart"/>
      <w:r w:rsidRPr="00CA2533">
        <w:rPr>
          <w:rFonts w:ascii="Century Gothic" w:hAnsi="Century Gothic" w:cs="Arial"/>
          <w:b/>
          <w:bCs/>
        </w:rPr>
        <w:t>COMPETENCY OF COURT.</w:t>
      </w:r>
      <w:proofErr w:type="gramEnd"/>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In a mortgage suit the Court by virtue of the provisions contained in order 34 Rule 5(3), Code of Civil Procedure is competent while passing a final decree to direct that the mortgaged property or a sufficient part thereof be sold7.</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COURT’S OBLIGATION UNDER THE RULE</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The Court is bound to set aside the sale under this Rule if the payment has been made before confirmation8.</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SCOPE OF THE RULE</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 xml:space="preserve">A suit relating to a mortgage should not be dismissed by reason of non-joinder of parties unless the parties are necessary parties and non-joinder affects the merits of the case. If the parties are merely proper parties, as distinguished from necessary parties, the Court may, though the plaintiff refuses to add them as </w:t>
      </w:r>
      <w:r w:rsidRPr="00CA2533">
        <w:rPr>
          <w:rFonts w:ascii="Century Gothic" w:hAnsi="Century Gothic" w:cs="Arial"/>
        </w:rPr>
        <w:lastRenderedPageBreak/>
        <w:t>parties, proceed under O. 1 R. 9 to deal with the matter in controversy so far as regards the rights and interests of the parties before it9.</w:t>
      </w:r>
    </w:p>
    <w:p w:rsidR="003C0895" w:rsidRPr="00CA2533" w:rsidRDefault="003C0895" w:rsidP="00CA2533">
      <w:pPr>
        <w:pStyle w:val="NormalWeb"/>
        <w:spacing w:line="276" w:lineRule="auto"/>
        <w:jc w:val="both"/>
        <w:rPr>
          <w:rFonts w:ascii="Century Gothic" w:hAnsi="Century Gothic" w:cs="Arial"/>
          <w:b/>
          <w:bCs/>
        </w:rPr>
      </w:pPr>
      <w:r w:rsidRPr="00CA2533">
        <w:rPr>
          <w:rFonts w:ascii="Century Gothic" w:hAnsi="Century Gothic" w:cs="Arial"/>
          <w:b/>
          <w:bCs/>
        </w:rPr>
        <w:t>SCOPE OF SUIT FOR REDEMPTION</w:t>
      </w:r>
    </w:p>
    <w:p w:rsidR="003C0895" w:rsidRPr="00CA2533" w:rsidRDefault="003C0895" w:rsidP="00CA2533">
      <w:pPr>
        <w:pStyle w:val="NormalWeb"/>
        <w:spacing w:line="276" w:lineRule="auto"/>
        <w:jc w:val="both"/>
        <w:rPr>
          <w:rFonts w:ascii="Century Gothic" w:hAnsi="Century Gothic" w:cs="Arial"/>
        </w:rPr>
      </w:pPr>
      <w:r w:rsidRPr="00CA2533">
        <w:rPr>
          <w:rFonts w:ascii="Century Gothic" w:hAnsi="Century Gothic" w:cs="Arial"/>
        </w:rPr>
        <w:t>In a suit for redemption of a mortgage the question of paramount title to the mortgaged property cannot be gone into10.</w:t>
      </w:r>
    </w:p>
    <w:p w:rsidR="003C0895" w:rsidRPr="00CA2533" w:rsidRDefault="003C0895" w:rsidP="00CA2533">
      <w:pPr>
        <w:pStyle w:val="NormalWeb"/>
        <w:spacing w:line="276" w:lineRule="auto"/>
        <w:ind w:left="1440"/>
        <w:rPr>
          <w:rFonts w:ascii="Century Gothic" w:hAnsi="Century Gothic" w:cs="Arial"/>
        </w:rPr>
      </w:pPr>
      <w:r w:rsidRPr="00CA2533">
        <w:rPr>
          <w:rFonts w:ascii="Century Gothic" w:hAnsi="Century Gothic" w:cs="Arial"/>
        </w:rPr>
        <w:t xml:space="preserve">1. Union bank of India v. </w:t>
      </w:r>
      <w:proofErr w:type="spellStart"/>
      <w:r w:rsidRPr="00CA2533">
        <w:rPr>
          <w:rFonts w:ascii="Century Gothic" w:hAnsi="Century Gothic" w:cs="Arial"/>
        </w:rPr>
        <w:t>Monku</w:t>
      </w:r>
      <w:proofErr w:type="spellEnd"/>
      <w:r w:rsidRPr="00CA2533">
        <w:rPr>
          <w:rFonts w:ascii="Century Gothic" w:hAnsi="Century Gothic" w:cs="Arial"/>
        </w:rPr>
        <w:t xml:space="preserve"> </w:t>
      </w:r>
      <w:proofErr w:type="spellStart"/>
      <w:r w:rsidRPr="00CA2533">
        <w:rPr>
          <w:rFonts w:ascii="Century Gothic" w:hAnsi="Century Gothic" w:cs="Arial"/>
        </w:rPr>
        <w:t>Narayana</w:t>
      </w:r>
      <w:proofErr w:type="spellEnd"/>
      <w:r w:rsidRPr="00CA2533">
        <w:rPr>
          <w:rFonts w:ascii="Century Gothic" w:hAnsi="Century Gothic" w:cs="Arial"/>
        </w:rPr>
        <w:t>, (1987) 2 S. C. C. 335.</w:t>
      </w:r>
    </w:p>
    <w:p w:rsidR="003C0895" w:rsidRPr="00CA2533" w:rsidRDefault="003C0895" w:rsidP="00CA2533">
      <w:pPr>
        <w:pStyle w:val="NormalWeb"/>
        <w:spacing w:line="276" w:lineRule="auto"/>
        <w:ind w:left="1440"/>
        <w:rPr>
          <w:rFonts w:ascii="Century Gothic" w:hAnsi="Century Gothic" w:cs="Arial"/>
        </w:rPr>
      </w:pPr>
      <w:proofErr w:type="gramStart"/>
      <w:r w:rsidRPr="00CA2533">
        <w:rPr>
          <w:rFonts w:ascii="Century Gothic" w:hAnsi="Century Gothic" w:cs="Arial"/>
        </w:rPr>
        <w:t xml:space="preserve">2. </w:t>
      </w:r>
      <w:proofErr w:type="spellStart"/>
      <w:r w:rsidRPr="00CA2533">
        <w:rPr>
          <w:rFonts w:ascii="Century Gothic" w:hAnsi="Century Gothic" w:cs="Arial"/>
        </w:rPr>
        <w:t>Shir</w:t>
      </w:r>
      <w:proofErr w:type="spellEnd"/>
      <w:r w:rsidRPr="00CA2533">
        <w:rPr>
          <w:rFonts w:ascii="Century Gothic" w:hAnsi="Century Gothic" w:cs="Arial"/>
        </w:rPr>
        <w:t xml:space="preserve"> Singh v. Assistant Custodian General and others, (1987) 1 S. C. C. 605.</w:t>
      </w:r>
      <w:proofErr w:type="gramEnd"/>
    </w:p>
    <w:p w:rsidR="003C0895" w:rsidRPr="00CA2533" w:rsidRDefault="003C0895" w:rsidP="00CA2533">
      <w:pPr>
        <w:pStyle w:val="NormalWeb"/>
        <w:spacing w:line="276" w:lineRule="auto"/>
        <w:ind w:left="1440"/>
        <w:rPr>
          <w:rFonts w:ascii="Century Gothic" w:hAnsi="Century Gothic" w:cs="Arial"/>
        </w:rPr>
      </w:pPr>
      <w:proofErr w:type="gramStart"/>
      <w:r w:rsidRPr="00CA2533">
        <w:rPr>
          <w:rFonts w:ascii="Century Gothic" w:hAnsi="Century Gothic" w:cs="Arial"/>
        </w:rPr>
        <w:t xml:space="preserve">3. K. </w:t>
      </w:r>
      <w:proofErr w:type="spellStart"/>
      <w:r w:rsidRPr="00CA2533">
        <w:rPr>
          <w:rFonts w:ascii="Century Gothic" w:hAnsi="Century Gothic" w:cs="Arial"/>
        </w:rPr>
        <w:t>Parameswaran</w:t>
      </w:r>
      <w:proofErr w:type="spellEnd"/>
      <w:r w:rsidRPr="00CA2533">
        <w:rPr>
          <w:rFonts w:ascii="Century Gothic" w:hAnsi="Century Gothic" w:cs="Arial"/>
        </w:rPr>
        <w:t xml:space="preserve"> </w:t>
      </w:r>
      <w:proofErr w:type="spellStart"/>
      <w:r w:rsidRPr="00CA2533">
        <w:rPr>
          <w:rFonts w:ascii="Century Gothic" w:hAnsi="Century Gothic" w:cs="Arial"/>
        </w:rPr>
        <w:t>Pillai</w:t>
      </w:r>
      <w:proofErr w:type="spellEnd"/>
      <w:r w:rsidRPr="00CA2533">
        <w:rPr>
          <w:rFonts w:ascii="Century Gothic" w:hAnsi="Century Gothic" w:cs="Arial"/>
        </w:rPr>
        <w:t xml:space="preserve"> v. K. </w:t>
      </w:r>
      <w:proofErr w:type="spellStart"/>
      <w:r w:rsidRPr="00CA2533">
        <w:rPr>
          <w:rFonts w:ascii="Century Gothic" w:hAnsi="Century Gothic" w:cs="Arial"/>
        </w:rPr>
        <w:t>Sumathi</w:t>
      </w:r>
      <w:proofErr w:type="spellEnd"/>
      <w:r w:rsidRPr="00CA2533">
        <w:rPr>
          <w:rFonts w:ascii="Century Gothic" w:hAnsi="Century Gothic" w:cs="Arial"/>
        </w:rPr>
        <w:t xml:space="preserve"> @ </w:t>
      </w:r>
      <w:proofErr w:type="spellStart"/>
      <w:r w:rsidRPr="00CA2533">
        <w:rPr>
          <w:rFonts w:ascii="Century Gothic" w:hAnsi="Century Gothic" w:cs="Arial"/>
        </w:rPr>
        <w:t>Jesis</w:t>
      </w:r>
      <w:proofErr w:type="spellEnd"/>
      <w:r w:rsidRPr="00CA2533">
        <w:rPr>
          <w:rFonts w:ascii="Century Gothic" w:hAnsi="Century Gothic" w:cs="Arial"/>
        </w:rPr>
        <w:t xml:space="preserve"> Jessie </w:t>
      </w:r>
      <w:proofErr w:type="spellStart"/>
      <w:r w:rsidRPr="00CA2533">
        <w:rPr>
          <w:rFonts w:ascii="Century Gothic" w:hAnsi="Century Gothic" w:cs="Arial"/>
        </w:rPr>
        <w:t>Jacquiline</w:t>
      </w:r>
      <w:proofErr w:type="spellEnd"/>
      <w:r w:rsidRPr="00CA2533">
        <w:rPr>
          <w:rFonts w:ascii="Century Gothic" w:hAnsi="Century Gothic" w:cs="Arial"/>
        </w:rPr>
        <w:t>, 1993 (3) C. C. C. 99 (S. C.).</w:t>
      </w:r>
      <w:proofErr w:type="gramEnd"/>
    </w:p>
    <w:p w:rsidR="003C0895" w:rsidRPr="00CA2533" w:rsidRDefault="003C0895" w:rsidP="00CA2533">
      <w:pPr>
        <w:pStyle w:val="NormalWeb"/>
        <w:spacing w:line="276" w:lineRule="auto"/>
        <w:ind w:left="1440"/>
        <w:rPr>
          <w:rFonts w:ascii="Century Gothic" w:hAnsi="Century Gothic" w:cs="Arial"/>
        </w:rPr>
      </w:pPr>
      <w:proofErr w:type="gramStart"/>
      <w:r w:rsidRPr="00CA2533">
        <w:rPr>
          <w:rFonts w:ascii="Century Gothic" w:hAnsi="Century Gothic" w:cs="Arial"/>
        </w:rPr>
        <w:t xml:space="preserve">4. Reba </w:t>
      </w:r>
      <w:proofErr w:type="spellStart"/>
      <w:r w:rsidRPr="00CA2533">
        <w:rPr>
          <w:rFonts w:ascii="Century Gothic" w:hAnsi="Century Gothic" w:cs="Arial"/>
        </w:rPr>
        <w:t>Sircar</w:t>
      </w:r>
      <w:proofErr w:type="spellEnd"/>
      <w:r w:rsidRPr="00CA2533">
        <w:rPr>
          <w:rFonts w:ascii="Century Gothic" w:hAnsi="Century Gothic" w:cs="Arial"/>
        </w:rPr>
        <w:t xml:space="preserve"> v. </w:t>
      </w:r>
      <w:proofErr w:type="spellStart"/>
      <w:r w:rsidRPr="00CA2533">
        <w:rPr>
          <w:rFonts w:ascii="Century Gothic" w:hAnsi="Century Gothic" w:cs="Arial"/>
        </w:rPr>
        <w:t>Bisweswar</w:t>
      </w:r>
      <w:proofErr w:type="spellEnd"/>
      <w:r w:rsidRPr="00CA2533">
        <w:rPr>
          <w:rFonts w:ascii="Century Gothic" w:hAnsi="Century Gothic" w:cs="Arial"/>
        </w:rPr>
        <w:t xml:space="preserve"> </w:t>
      </w:r>
      <w:proofErr w:type="spellStart"/>
      <w:r w:rsidRPr="00CA2533">
        <w:rPr>
          <w:rFonts w:ascii="Century Gothic" w:hAnsi="Century Gothic" w:cs="Arial"/>
        </w:rPr>
        <w:t>Lal</w:t>
      </w:r>
      <w:proofErr w:type="spellEnd"/>
      <w:r w:rsidRPr="00CA2533">
        <w:rPr>
          <w:rFonts w:ascii="Century Gothic" w:hAnsi="Century Gothic" w:cs="Arial"/>
        </w:rPr>
        <w:t>, A. I. R. 1980 Cal. 328: (1980) 84 Cal. W. N. 552: 1980 (1) Cal. H. N. 528: (1980) 1 Cal. L. J. 421.</w:t>
      </w:r>
      <w:proofErr w:type="gramEnd"/>
    </w:p>
    <w:p w:rsidR="003C0895" w:rsidRPr="00CA2533" w:rsidRDefault="003C0895" w:rsidP="00CA2533">
      <w:pPr>
        <w:pStyle w:val="NormalWeb"/>
        <w:spacing w:line="276" w:lineRule="auto"/>
        <w:ind w:left="1440"/>
        <w:rPr>
          <w:rFonts w:ascii="Century Gothic" w:hAnsi="Century Gothic" w:cs="Arial"/>
        </w:rPr>
      </w:pPr>
      <w:proofErr w:type="gramStart"/>
      <w:r w:rsidRPr="00CA2533">
        <w:rPr>
          <w:rFonts w:ascii="Century Gothic" w:hAnsi="Century Gothic" w:cs="Arial"/>
        </w:rPr>
        <w:t xml:space="preserve">5. </w:t>
      </w:r>
      <w:proofErr w:type="spellStart"/>
      <w:r w:rsidRPr="00CA2533">
        <w:rPr>
          <w:rFonts w:ascii="Century Gothic" w:hAnsi="Century Gothic" w:cs="Arial"/>
        </w:rPr>
        <w:t>Sulaikha</w:t>
      </w:r>
      <w:proofErr w:type="spellEnd"/>
      <w:r w:rsidRPr="00CA2533">
        <w:rPr>
          <w:rFonts w:ascii="Century Gothic" w:hAnsi="Century Gothic" w:cs="Arial"/>
        </w:rPr>
        <w:t xml:space="preserve"> </w:t>
      </w:r>
      <w:proofErr w:type="spellStart"/>
      <w:r w:rsidRPr="00CA2533">
        <w:rPr>
          <w:rFonts w:ascii="Century Gothic" w:hAnsi="Century Gothic" w:cs="Arial"/>
        </w:rPr>
        <w:t>Kunju</w:t>
      </w:r>
      <w:proofErr w:type="spellEnd"/>
      <w:r w:rsidRPr="00CA2533">
        <w:rPr>
          <w:rFonts w:ascii="Century Gothic" w:hAnsi="Century Gothic" w:cs="Arial"/>
        </w:rPr>
        <w:t xml:space="preserve"> v. Krishna </w:t>
      </w:r>
      <w:proofErr w:type="spellStart"/>
      <w:r w:rsidRPr="00CA2533">
        <w:rPr>
          <w:rFonts w:ascii="Century Gothic" w:hAnsi="Century Gothic" w:cs="Arial"/>
        </w:rPr>
        <w:t>Pillai</w:t>
      </w:r>
      <w:proofErr w:type="spellEnd"/>
      <w:r w:rsidRPr="00CA2533">
        <w:rPr>
          <w:rFonts w:ascii="Century Gothic" w:hAnsi="Century Gothic" w:cs="Arial"/>
        </w:rPr>
        <w:t>, 1985 (1) C. C. C. 813 (814).</w:t>
      </w:r>
      <w:proofErr w:type="gramEnd"/>
    </w:p>
    <w:p w:rsidR="003C0895" w:rsidRPr="00CA2533" w:rsidRDefault="003C0895" w:rsidP="00CA2533">
      <w:pPr>
        <w:pStyle w:val="NormalWeb"/>
        <w:spacing w:line="276" w:lineRule="auto"/>
        <w:ind w:left="1440"/>
        <w:rPr>
          <w:rFonts w:ascii="Century Gothic" w:hAnsi="Century Gothic" w:cs="Arial"/>
        </w:rPr>
      </w:pPr>
      <w:r w:rsidRPr="00CA2533">
        <w:rPr>
          <w:rFonts w:ascii="Century Gothic" w:hAnsi="Century Gothic" w:cs="Arial"/>
        </w:rPr>
        <w:t>6. L. C. Bank v. A. R. M. &amp; Co., A. I. R. 1972 Delhi 118.</w:t>
      </w:r>
    </w:p>
    <w:p w:rsidR="003C0895" w:rsidRPr="00CA2533" w:rsidRDefault="003C0895" w:rsidP="00CA2533">
      <w:pPr>
        <w:pStyle w:val="NormalWeb"/>
        <w:spacing w:line="276" w:lineRule="auto"/>
        <w:ind w:left="1440"/>
        <w:rPr>
          <w:rFonts w:ascii="Century Gothic" w:hAnsi="Century Gothic" w:cs="Arial"/>
        </w:rPr>
      </w:pPr>
      <w:r w:rsidRPr="00CA2533">
        <w:rPr>
          <w:rFonts w:ascii="Century Gothic" w:hAnsi="Century Gothic" w:cs="Arial"/>
        </w:rPr>
        <w:t xml:space="preserve">7. M/s. </w:t>
      </w:r>
      <w:proofErr w:type="spellStart"/>
      <w:r w:rsidRPr="00CA2533">
        <w:rPr>
          <w:rFonts w:ascii="Century Gothic" w:hAnsi="Century Gothic" w:cs="Arial"/>
        </w:rPr>
        <w:t>Satwant</w:t>
      </w:r>
      <w:proofErr w:type="spellEnd"/>
      <w:r w:rsidRPr="00CA2533">
        <w:rPr>
          <w:rFonts w:ascii="Century Gothic" w:hAnsi="Century Gothic" w:cs="Arial"/>
        </w:rPr>
        <w:t xml:space="preserve"> </w:t>
      </w:r>
      <w:proofErr w:type="spellStart"/>
      <w:r w:rsidRPr="00CA2533">
        <w:rPr>
          <w:rFonts w:ascii="Century Gothic" w:hAnsi="Century Gothic" w:cs="Arial"/>
        </w:rPr>
        <w:t>Kochhar</w:t>
      </w:r>
      <w:proofErr w:type="spellEnd"/>
      <w:r w:rsidRPr="00CA2533">
        <w:rPr>
          <w:rFonts w:ascii="Century Gothic" w:hAnsi="Century Gothic" w:cs="Arial"/>
        </w:rPr>
        <w:t xml:space="preserve"> &amp; Co. v. Punjab National Bank, New Delhi, 1985 (1) C. C. C. 603 (Delhi).</w:t>
      </w:r>
    </w:p>
    <w:p w:rsidR="003C0895" w:rsidRPr="00CA2533" w:rsidRDefault="003C0895" w:rsidP="00CA2533">
      <w:pPr>
        <w:pStyle w:val="NormalWeb"/>
        <w:spacing w:line="276" w:lineRule="auto"/>
        <w:ind w:left="1440"/>
        <w:rPr>
          <w:rFonts w:ascii="Century Gothic" w:hAnsi="Century Gothic" w:cs="Arial"/>
        </w:rPr>
      </w:pPr>
      <w:r w:rsidRPr="00CA2533">
        <w:rPr>
          <w:rFonts w:ascii="Century Gothic" w:hAnsi="Century Gothic" w:cs="Arial"/>
        </w:rPr>
        <w:t xml:space="preserve">8. M. </w:t>
      </w:r>
      <w:proofErr w:type="spellStart"/>
      <w:r w:rsidRPr="00CA2533">
        <w:rPr>
          <w:rFonts w:ascii="Century Gothic" w:hAnsi="Century Gothic" w:cs="Arial"/>
        </w:rPr>
        <w:t>Sheck</w:t>
      </w:r>
      <w:proofErr w:type="spellEnd"/>
      <w:r w:rsidRPr="00CA2533">
        <w:rPr>
          <w:rFonts w:ascii="Century Gothic" w:hAnsi="Century Gothic" w:cs="Arial"/>
        </w:rPr>
        <w:t xml:space="preserve"> Ali v. State Bank of India (Mad. H. C</w:t>
      </w:r>
      <w:proofErr w:type="gramStart"/>
      <w:r w:rsidRPr="00CA2533">
        <w:rPr>
          <w:rFonts w:ascii="Century Gothic" w:hAnsi="Century Gothic" w:cs="Arial"/>
        </w:rPr>
        <w:t>. )</w:t>
      </w:r>
      <w:proofErr w:type="gramEnd"/>
      <w:r w:rsidRPr="00CA2533">
        <w:rPr>
          <w:rFonts w:ascii="Century Gothic" w:hAnsi="Century Gothic" w:cs="Arial"/>
        </w:rPr>
        <w:t>, 1985 (2) C. C. C. 198.</w:t>
      </w:r>
    </w:p>
    <w:p w:rsidR="003C0895" w:rsidRPr="00CA2533" w:rsidRDefault="003C0895" w:rsidP="00CA2533">
      <w:pPr>
        <w:pStyle w:val="NormalWeb"/>
        <w:spacing w:line="276" w:lineRule="auto"/>
        <w:ind w:left="1440"/>
        <w:rPr>
          <w:rFonts w:ascii="Century Gothic" w:hAnsi="Century Gothic" w:cs="Arial"/>
        </w:rPr>
      </w:pPr>
      <w:proofErr w:type="gramStart"/>
      <w:r w:rsidRPr="00CA2533">
        <w:rPr>
          <w:rFonts w:ascii="Century Gothic" w:hAnsi="Century Gothic" w:cs="Arial"/>
        </w:rPr>
        <w:t xml:space="preserve">9. </w:t>
      </w:r>
      <w:proofErr w:type="spellStart"/>
      <w:r w:rsidRPr="00CA2533">
        <w:rPr>
          <w:rFonts w:ascii="Century Gothic" w:hAnsi="Century Gothic" w:cs="Arial"/>
        </w:rPr>
        <w:t>Housabai</w:t>
      </w:r>
      <w:proofErr w:type="spellEnd"/>
      <w:r w:rsidRPr="00CA2533">
        <w:rPr>
          <w:rFonts w:ascii="Century Gothic" w:hAnsi="Century Gothic" w:cs="Arial"/>
        </w:rPr>
        <w:t xml:space="preserve"> Vishnu </w:t>
      </w:r>
      <w:proofErr w:type="spellStart"/>
      <w:r w:rsidRPr="00CA2533">
        <w:rPr>
          <w:rFonts w:ascii="Century Gothic" w:hAnsi="Century Gothic" w:cs="Arial"/>
        </w:rPr>
        <w:t>Yadav</w:t>
      </w:r>
      <w:proofErr w:type="spellEnd"/>
      <w:r w:rsidRPr="00CA2533">
        <w:rPr>
          <w:rFonts w:ascii="Century Gothic" w:hAnsi="Century Gothic" w:cs="Arial"/>
        </w:rPr>
        <w:t xml:space="preserve"> v. </w:t>
      </w:r>
      <w:proofErr w:type="spellStart"/>
      <w:r w:rsidRPr="00CA2533">
        <w:rPr>
          <w:rFonts w:ascii="Century Gothic" w:hAnsi="Century Gothic" w:cs="Arial"/>
        </w:rPr>
        <w:t>Kashinath</w:t>
      </w:r>
      <w:proofErr w:type="spellEnd"/>
      <w:r w:rsidRPr="00CA2533">
        <w:rPr>
          <w:rFonts w:ascii="Century Gothic" w:hAnsi="Century Gothic" w:cs="Arial"/>
        </w:rPr>
        <w:t xml:space="preserve"> </w:t>
      </w:r>
      <w:proofErr w:type="spellStart"/>
      <w:r w:rsidRPr="00CA2533">
        <w:rPr>
          <w:rFonts w:ascii="Century Gothic" w:hAnsi="Century Gothic" w:cs="Arial"/>
        </w:rPr>
        <w:t>Padharinath</w:t>
      </w:r>
      <w:proofErr w:type="spellEnd"/>
      <w:r w:rsidRPr="00CA2533">
        <w:rPr>
          <w:rFonts w:ascii="Century Gothic" w:hAnsi="Century Gothic" w:cs="Arial"/>
        </w:rPr>
        <w:t xml:space="preserve"> </w:t>
      </w:r>
      <w:proofErr w:type="spellStart"/>
      <w:r w:rsidRPr="00CA2533">
        <w:rPr>
          <w:rFonts w:ascii="Century Gothic" w:hAnsi="Century Gothic" w:cs="Arial"/>
        </w:rPr>
        <w:t>Vanpal</w:t>
      </w:r>
      <w:proofErr w:type="spellEnd"/>
      <w:r w:rsidRPr="00CA2533">
        <w:rPr>
          <w:rFonts w:ascii="Century Gothic" w:hAnsi="Century Gothic" w:cs="Arial"/>
        </w:rPr>
        <w:t>, (1972) 74 B. L. R. 706.</w:t>
      </w:r>
      <w:proofErr w:type="gramEnd"/>
    </w:p>
    <w:p w:rsidR="003C0895" w:rsidRPr="00CA2533" w:rsidRDefault="003C0895" w:rsidP="00CA2533">
      <w:pPr>
        <w:pStyle w:val="NormalWeb"/>
        <w:spacing w:line="276" w:lineRule="auto"/>
        <w:ind w:left="1440"/>
        <w:rPr>
          <w:rFonts w:ascii="Century Gothic" w:hAnsi="Century Gothic" w:cs="Arial"/>
        </w:rPr>
      </w:pPr>
      <w:r w:rsidRPr="00CA2533">
        <w:rPr>
          <w:rFonts w:ascii="Century Gothic" w:hAnsi="Century Gothic" w:cs="Arial"/>
        </w:rPr>
        <w:t xml:space="preserve">10. </w:t>
      </w:r>
      <w:proofErr w:type="spellStart"/>
      <w:r w:rsidRPr="00CA2533">
        <w:rPr>
          <w:rFonts w:ascii="Century Gothic" w:hAnsi="Century Gothic" w:cs="Arial"/>
        </w:rPr>
        <w:t>Sita</w:t>
      </w:r>
      <w:proofErr w:type="spellEnd"/>
      <w:r w:rsidRPr="00CA2533">
        <w:rPr>
          <w:rFonts w:ascii="Century Gothic" w:hAnsi="Century Gothic" w:cs="Arial"/>
        </w:rPr>
        <w:t xml:space="preserve"> Ram San v. Islam </w:t>
      </w:r>
      <w:proofErr w:type="spellStart"/>
      <w:r w:rsidRPr="00CA2533">
        <w:rPr>
          <w:rFonts w:ascii="Century Gothic" w:hAnsi="Century Gothic" w:cs="Arial"/>
        </w:rPr>
        <w:t>Mian</w:t>
      </w:r>
      <w:proofErr w:type="spellEnd"/>
      <w:r w:rsidRPr="00CA2533">
        <w:rPr>
          <w:rFonts w:ascii="Century Gothic" w:hAnsi="Century Gothic" w:cs="Arial"/>
        </w:rPr>
        <w:t>, A. I. R 1973 Pat. 25.</w:t>
      </w:r>
    </w:p>
    <w:p w:rsidR="003C0895" w:rsidRPr="00CA2533" w:rsidRDefault="003C0895" w:rsidP="00CA2533">
      <w:pPr>
        <w:spacing w:line="276" w:lineRule="auto"/>
        <w:rPr>
          <w:rFonts w:ascii="Century Gothic" w:hAnsi="Century Gothic" w:cs="Arial"/>
        </w:rPr>
      </w:pPr>
    </w:p>
    <w:bookmarkEnd w:id="0"/>
    <w:p w:rsidR="00926DB9" w:rsidRPr="00CA2533" w:rsidRDefault="00926DB9" w:rsidP="00CA2533">
      <w:pPr>
        <w:spacing w:line="276" w:lineRule="auto"/>
        <w:rPr>
          <w:rFonts w:ascii="Century Gothic" w:hAnsi="Century Gothic" w:cs="Arial"/>
        </w:rPr>
      </w:pPr>
    </w:p>
    <w:sectPr w:rsidR="00926DB9" w:rsidRPr="00CA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57"/>
    <w:rsid w:val="003C0895"/>
    <w:rsid w:val="00926DB9"/>
    <w:rsid w:val="00CA2533"/>
    <w:rsid w:val="00F04C0F"/>
    <w:rsid w:val="00F1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9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8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9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4,%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34, C. P. C.</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2024-06-15T11:50:00Z</dcterms:created>
  <dcterms:modified xsi:type="dcterms:W3CDTF">2024-06-15T11:50:00Z</dcterms:modified>
</cp:coreProperties>
</file>