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464" w:rsidRPr="00CE3464" w:rsidRDefault="00CE3464" w:rsidP="00EC135A">
      <w:pPr>
        <w:pStyle w:val="NormalWeb"/>
        <w:spacing w:line="276" w:lineRule="auto"/>
        <w:jc w:val="center"/>
        <w:rPr>
          <w:rFonts w:ascii="Arial" w:hAnsi="Arial" w:cs="Arial"/>
          <w:b/>
          <w:bCs/>
          <w:sz w:val="22"/>
          <w:szCs w:val="22"/>
        </w:rPr>
      </w:pPr>
      <w:bookmarkStart w:id="0" w:name="_GoBack"/>
      <w:bookmarkEnd w:id="0"/>
      <w:r w:rsidRPr="00CE3464">
        <w:rPr>
          <w:rFonts w:ascii="Arial" w:hAnsi="Arial" w:cs="Arial"/>
          <w:b/>
          <w:bCs/>
          <w:sz w:val="22"/>
          <w:szCs w:val="22"/>
        </w:rPr>
        <w:t>APPLICATION UNDER ORDER 39, RULES 1 AND 2 AND SECTION 151 C. P. C.</w:t>
      </w:r>
    </w:p>
    <w:p w:rsidR="00CE3464" w:rsidRPr="00CE3464" w:rsidRDefault="00CE3464" w:rsidP="00CE3464">
      <w:pPr>
        <w:pStyle w:val="NormalWeb"/>
        <w:rPr>
          <w:rFonts w:ascii="Arial" w:hAnsi="Arial" w:cs="Arial"/>
          <w:sz w:val="22"/>
          <w:szCs w:val="22"/>
        </w:rPr>
      </w:pPr>
      <w:proofErr w:type="gramStart"/>
      <w:r w:rsidRPr="00CE3464">
        <w:rPr>
          <w:rFonts w:ascii="Arial" w:hAnsi="Arial" w:cs="Arial"/>
          <w:sz w:val="22"/>
          <w:szCs w:val="22"/>
        </w:rPr>
        <w:t>IN THE COURT OF....................</w:t>
      </w:r>
      <w:proofErr w:type="gramEnd"/>
    </w:p>
    <w:p w:rsidR="00CE3464" w:rsidRPr="00CE3464" w:rsidRDefault="00CE3464" w:rsidP="00CE3464">
      <w:pPr>
        <w:pStyle w:val="NormalWeb"/>
        <w:rPr>
          <w:rFonts w:ascii="Arial" w:hAnsi="Arial" w:cs="Arial"/>
          <w:sz w:val="22"/>
          <w:szCs w:val="22"/>
        </w:rPr>
      </w:pPr>
      <w:r w:rsidRPr="00CE3464">
        <w:rPr>
          <w:rFonts w:ascii="Arial" w:hAnsi="Arial" w:cs="Arial"/>
          <w:sz w:val="22"/>
          <w:szCs w:val="22"/>
        </w:rPr>
        <w:t xml:space="preserve">.................... Suit No..................... </w:t>
      </w:r>
      <w:proofErr w:type="gramStart"/>
      <w:r w:rsidRPr="00CE3464">
        <w:rPr>
          <w:rFonts w:ascii="Arial" w:hAnsi="Arial" w:cs="Arial"/>
          <w:sz w:val="22"/>
          <w:szCs w:val="22"/>
        </w:rPr>
        <w:t>of</w:t>
      </w:r>
      <w:proofErr w:type="gramEnd"/>
      <w:r w:rsidRPr="00CE3464">
        <w:rPr>
          <w:rFonts w:ascii="Arial" w:hAnsi="Arial" w:cs="Arial"/>
          <w:sz w:val="22"/>
          <w:szCs w:val="22"/>
        </w:rPr>
        <w:t xml:space="preserve"> 19....................</w:t>
      </w:r>
    </w:p>
    <w:p w:rsidR="00CE3464" w:rsidRPr="00CE3464" w:rsidRDefault="00CE3464" w:rsidP="00CE3464">
      <w:pPr>
        <w:pStyle w:val="NormalWeb"/>
        <w:rPr>
          <w:rFonts w:ascii="Arial" w:hAnsi="Arial" w:cs="Arial"/>
          <w:sz w:val="22"/>
          <w:szCs w:val="22"/>
        </w:rPr>
      </w:pPr>
      <w:r w:rsidRPr="00CE3464">
        <w:rPr>
          <w:rFonts w:ascii="Arial" w:hAnsi="Arial" w:cs="Arial"/>
          <w:sz w:val="22"/>
          <w:szCs w:val="22"/>
        </w:rPr>
        <w:t>C. D................................................................... Plaintiff</w:t>
      </w:r>
    </w:p>
    <w:p w:rsidR="00CE3464" w:rsidRPr="00CE3464" w:rsidRDefault="00CE3464" w:rsidP="00CE3464">
      <w:pPr>
        <w:pStyle w:val="NormalWeb"/>
        <w:jc w:val="center"/>
        <w:rPr>
          <w:rFonts w:ascii="Arial" w:hAnsi="Arial" w:cs="Arial"/>
          <w:i/>
          <w:iCs/>
          <w:sz w:val="22"/>
          <w:szCs w:val="22"/>
        </w:rPr>
      </w:pPr>
      <w:proofErr w:type="gramStart"/>
      <w:r w:rsidRPr="00CE3464">
        <w:rPr>
          <w:rFonts w:ascii="Arial" w:hAnsi="Arial" w:cs="Arial"/>
          <w:i/>
          <w:iCs/>
          <w:sz w:val="22"/>
          <w:szCs w:val="22"/>
        </w:rPr>
        <w:t>versus</w:t>
      </w:r>
      <w:proofErr w:type="gramEnd"/>
      <w:r w:rsidRPr="00CE3464">
        <w:rPr>
          <w:rFonts w:ascii="Arial" w:hAnsi="Arial" w:cs="Arial"/>
          <w:i/>
          <w:iCs/>
          <w:sz w:val="22"/>
          <w:szCs w:val="22"/>
        </w:rPr>
        <w:t xml:space="preserve"> </w:t>
      </w:r>
    </w:p>
    <w:p w:rsidR="00CE3464" w:rsidRPr="00CE3464" w:rsidRDefault="00CE3464" w:rsidP="00CE3464">
      <w:pPr>
        <w:pStyle w:val="NormalWeb"/>
        <w:rPr>
          <w:rFonts w:ascii="Arial" w:hAnsi="Arial" w:cs="Arial"/>
          <w:sz w:val="22"/>
          <w:szCs w:val="22"/>
        </w:rPr>
      </w:pPr>
      <w:r w:rsidRPr="00CE3464">
        <w:rPr>
          <w:rFonts w:ascii="Arial" w:hAnsi="Arial" w:cs="Arial"/>
          <w:sz w:val="22"/>
          <w:szCs w:val="22"/>
        </w:rPr>
        <w:t>C. F................................................................. Defendant</w:t>
      </w:r>
    </w:p>
    <w:p w:rsidR="00CE3464" w:rsidRPr="00CE3464" w:rsidRDefault="00CE3464" w:rsidP="00CE3464">
      <w:pPr>
        <w:pStyle w:val="NormalWeb"/>
        <w:rPr>
          <w:rFonts w:ascii="Arial" w:hAnsi="Arial" w:cs="Arial"/>
          <w:sz w:val="22"/>
          <w:szCs w:val="22"/>
        </w:rPr>
      </w:pPr>
      <w:r w:rsidRPr="00CE3464">
        <w:rPr>
          <w:rFonts w:ascii="Arial" w:hAnsi="Arial" w:cs="Arial"/>
          <w:sz w:val="22"/>
          <w:szCs w:val="22"/>
        </w:rPr>
        <w:t>Sir,</w:t>
      </w:r>
    </w:p>
    <w:p w:rsidR="00CE3464" w:rsidRPr="00CE3464" w:rsidRDefault="00CE3464" w:rsidP="00CE3464">
      <w:pPr>
        <w:pStyle w:val="NormalWeb"/>
        <w:jc w:val="both"/>
        <w:rPr>
          <w:rFonts w:ascii="Arial" w:hAnsi="Arial" w:cs="Arial"/>
          <w:sz w:val="22"/>
          <w:szCs w:val="22"/>
        </w:rPr>
      </w:pPr>
      <w:r w:rsidRPr="00CE3464">
        <w:rPr>
          <w:rFonts w:ascii="Arial" w:hAnsi="Arial" w:cs="Arial"/>
          <w:sz w:val="22"/>
          <w:szCs w:val="22"/>
        </w:rPr>
        <w:t>The plaintiff respectfully submits as follows: —</w:t>
      </w:r>
    </w:p>
    <w:p w:rsidR="00CE3464" w:rsidRPr="00CE3464" w:rsidRDefault="00CE3464" w:rsidP="00CE3464">
      <w:pPr>
        <w:pStyle w:val="NormalWeb"/>
        <w:jc w:val="both"/>
        <w:rPr>
          <w:rFonts w:ascii="Arial" w:hAnsi="Arial" w:cs="Arial"/>
          <w:sz w:val="22"/>
          <w:szCs w:val="22"/>
        </w:rPr>
      </w:pPr>
      <w:r w:rsidRPr="00CE3464">
        <w:rPr>
          <w:rFonts w:ascii="Arial" w:hAnsi="Arial" w:cs="Arial"/>
          <w:sz w:val="22"/>
          <w:szCs w:val="22"/>
        </w:rPr>
        <w:t>1. That the plaintiff has filed the above noted suit for possession against the defendant. The contents of the plaint may be read as part of this application.</w:t>
      </w:r>
    </w:p>
    <w:p w:rsidR="00CE3464" w:rsidRPr="00CE3464" w:rsidRDefault="00CE3464" w:rsidP="00CE3464">
      <w:pPr>
        <w:pStyle w:val="NormalWeb"/>
        <w:jc w:val="both"/>
        <w:rPr>
          <w:rFonts w:ascii="Arial" w:hAnsi="Arial" w:cs="Arial"/>
          <w:sz w:val="22"/>
          <w:szCs w:val="22"/>
        </w:rPr>
      </w:pPr>
      <w:r w:rsidRPr="00CE3464">
        <w:rPr>
          <w:rFonts w:ascii="Arial" w:hAnsi="Arial" w:cs="Arial"/>
          <w:sz w:val="22"/>
          <w:szCs w:val="22"/>
        </w:rPr>
        <w:t>2. That the defendant had allowed some persons to inspect the premises in dispute on................... and on enquiry from these persons who did not disclose their identity to the plaintiff it transpired that the defendant was adamant to let out the premises on higher rent.</w:t>
      </w:r>
    </w:p>
    <w:p w:rsidR="00CE3464" w:rsidRPr="00CE3464" w:rsidRDefault="00CE3464" w:rsidP="00CE3464">
      <w:pPr>
        <w:pStyle w:val="NormalWeb"/>
        <w:jc w:val="both"/>
        <w:rPr>
          <w:rFonts w:ascii="Arial" w:hAnsi="Arial" w:cs="Arial"/>
          <w:sz w:val="22"/>
          <w:szCs w:val="22"/>
        </w:rPr>
      </w:pPr>
      <w:r w:rsidRPr="00CE3464">
        <w:rPr>
          <w:rFonts w:ascii="Arial" w:hAnsi="Arial" w:cs="Arial"/>
          <w:sz w:val="22"/>
          <w:szCs w:val="22"/>
        </w:rPr>
        <w:t xml:space="preserve">3. That the plaintiff is the tenant in the disputed premises and the possession of the defendant in the disputed premises is illegal and </w:t>
      </w:r>
      <w:proofErr w:type="spellStart"/>
      <w:r w:rsidRPr="00CE3464">
        <w:rPr>
          <w:rFonts w:ascii="Arial" w:hAnsi="Arial" w:cs="Arial"/>
          <w:sz w:val="22"/>
          <w:szCs w:val="22"/>
        </w:rPr>
        <w:t>unauthorised</w:t>
      </w:r>
      <w:proofErr w:type="spellEnd"/>
      <w:r w:rsidRPr="00CE3464">
        <w:rPr>
          <w:rFonts w:ascii="Arial" w:hAnsi="Arial" w:cs="Arial"/>
          <w:sz w:val="22"/>
          <w:szCs w:val="22"/>
        </w:rPr>
        <w:t xml:space="preserve"> and as such the defendant has no right to let out the same to any other person or part with possession of the disputed premises.</w:t>
      </w:r>
    </w:p>
    <w:p w:rsidR="00CE3464" w:rsidRPr="00CE3464" w:rsidRDefault="00CE3464" w:rsidP="00CE3464">
      <w:pPr>
        <w:pStyle w:val="NormalWeb"/>
        <w:jc w:val="both"/>
        <w:rPr>
          <w:rFonts w:ascii="Arial" w:hAnsi="Arial" w:cs="Arial"/>
          <w:sz w:val="22"/>
          <w:szCs w:val="22"/>
        </w:rPr>
      </w:pPr>
      <w:r w:rsidRPr="00CE3464">
        <w:rPr>
          <w:rFonts w:ascii="Arial" w:hAnsi="Arial" w:cs="Arial"/>
          <w:sz w:val="22"/>
          <w:szCs w:val="22"/>
        </w:rPr>
        <w:t xml:space="preserve">4. That the plaintiff has a good </w:t>
      </w:r>
      <w:r w:rsidRPr="00CE3464">
        <w:rPr>
          <w:rFonts w:ascii="Arial" w:hAnsi="Arial" w:cs="Arial"/>
          <w:i/>
          <w:iCs/>
          <w:sz w:val="22"/>
          <w:szCs w:val="22"/>
        </w:rPr>
        <w:t xml:space="preserve">prima facie </w:t>
      </w:r>
      <w:r w:rsidRPr="00CE3464">
        <w:rPr>
          <w:rFonts w:ascii="Arial" w:hAnsi="Arial" w:cs="Arial"/>
          <w:sz w:val="22"/>
          <w:szCs w:val="22"/>
        </w:rPr>
        <w:t>case and the plaintiff is sure to succeed.</w:t>
      </w:r>
    </w:p>
    <w:p w:rsidR="00CE3464" w:rsidRPr="00CE3464" w:rsidRDefault="00CE3464" w:rsidP="00CE3464">
      <w:pPr>
        <w:pStyle w:val="NormalWeb"/>
        <w:jc w:val="both"/>
        <w:rPr>
          <w:rFonts w:ascii="Arial" w:hAnsi="Arial" w:cs="Arial"/>
          <w:sz w:val="22"/>
          <w:szCs w:val="22"/>
        </w:rPr>
      </w:pPr>
      <w:r w:rsidRPr="00CE3464">
        <w:rPr>
          <w:rFonts w:ascii="Arial" w:hAnsi="Arial" w:cs="Arial"/>
          <w:sz w:val="22"/>
          <w:szCs w:val="22"/>
        </w:rPr>
        <w:t xml:space="preserve">5. That the balance of convenience is in </w:t>
      </w:r>
      <w:proofErr w:type="spellStart"/>
      <w:r w:rsidRPr="00CE3464">
        <w:rPr>
          <w:rFonts w:ascii="Arial" w:hAnsi="Arial" w:cs="Arial"/>
          <w:sz w:val="22"/>
          <w:szCs w:val="22"/>
        </w:rPr>
        <w:t>favour</w:t>
      </w:r>
      <w:proofErr w:type="spellEnd"/>
      <w:r w:rsidRPr="00CE3464">
        <w:rPr>
          <w:rFonts w:ascii="Arial" w:hAnsi="Arial" w:cs="Arial"/>
          <w:sz w:val="22"/>
          <w:szCs w:val="22"/>
        </w:rPr>
        <w:t xml:space="preserve"> of the plaintiff that the </w:t>
      </w:r>
      <w:r w:rsidRPr="00CE3464">
        <w:rPr>
          <w:rFonts w:ascii="Arial" w:hAnsi="Arial" w:cs="Arial"/>
          <w:i/>
          <w:iCs/>
          <w:sz w:val="22"/>
          <w:szCs w:val="22"/>
        </w:rPr>
        <w:t xml:space="preserve">status quo </w:t>
      </w:r>
      <w:r w:rsidRPr="00CE3464">
        <w:rPr>
          <w:rFonts w:ascii="Arial" w:hAnsi="Arial" w:cs="Arial"/>
          <w:sz w:val="22"/>
          <w:szCs w:val="22"/>
        </w:rPr>
        <w:t>may be ordered to be maintained during the pendency of the suit.</w:t>
      </w:r>
    </w:p>
    <w:p w:rsidR="00CE3464" w:rsidRPr="00CE3464" w:rsidRDefault="00CE3464" w:rsidP="00CE3464">
      <w:pPr>
        <w:pStyle w:val="NormalWeb"/>
        <w:jc w:val="both"/>
        <w:rPr>
          <w:rFonts w:ascii="Arial" w:hAnsi="Arial" w:cs="Arial"/>
          <w:sz w:val="22"/>
          <w:szCs w:val="22"/>
        </w:rPr>
      </w:pPr>
      <w:r w:rsidRPr="00CE3464">
        <w:rPr>
          <w:rFonts w:ascii="Arial" w:hAnsi="Arial" w:cs="Arial"/>
          <w:sz w:val="22"/>
          <w:szCs w:val="22"/>
        </w:rPr>
        <w:t>6. That the plaintiff will suffer irreparable loss and injury in case the defendant succeeds in her illegal design.</w:t>
      </w:r>
    </w:p>
    <w:p w:rsidR="00CE3464" w:rsidRPr="00CE3464" w:rsidRDefault="00CE3464" w:rsidP="00CE3464">
      <w:pPr>
        <w:pStyle w:val="NormalWeb"/>
        <w:jc w:val="both"/>
        <w:rPr>
          <w:rFonts w:ascii="Arial" w:hAnsi="Arial" w:cs="Arial"/>
          <w:sz w:val="22"/>
          <w:szCs w:val="22"/>
        </w:rPr>
      </w:pPr>
      <w:r w:rsidRPr="00CE3464">
        <w:rPr>
          <w:rFonts w:ascii="Arial" w:hAnsi="Arial" w:cs="Arial"/>
          <w:sz w:val="22"/>
          <w:szCs w:val="22"/>
        </w:rPr>
        <w:t xml:space="preserve">7. That under these circumstances, it is, therefore, prayed that an </w:t>
      </w:r>
      <w:r w:rsidRPr="00CE3464">
        <w:rPr>
          <w:rFonts w:ascii="Arial" w:hAnsi="Arial" w:cs="Arial"/>
          <w:i/>
          <w:iCs/>
          <w:sz w:val="22"/>
          <w:szCs w:val="22"/>
        </w:rPr>
        <w:t xml:space="preserve">ex pane </w:t>
      </w:r>
      <w:r w:rsidRPr="00CE3464">
        <w:rPr>
          <w:rFonts w:ascii="Arial" w:hAnsi="Arial" w:cs="Arial"/>
          <w:sz w:val="22"/>
          <w:szCs w:val="22"/>
        </w:rPr>
        <w:t xml:space="preserve">ad-interim injunction may be granted in </w:t>
      </w:r>
      <w:proofErr w:type="spellStart"/>
      <w:r w:rsidRPr="00CE3464">
        <w:rPr>
          <w:rFonts w:ascii="Arial" w:hAnsi="Arial" w:cs="Arial"/>
          <w:sz w:val="22"/>
          <w:szCs w:val="22"/>
        </w:rPr>
        <w:t>favour</w:t>
      </w:r>
      <w:proofErr w:type="spellEnd"/>
      <w:r w:rsidRPr="00CE3464">
        <w:rPr>
          <w:rFonts w:ascii="Arial" w:hAnsi="Arial" w:cs="Arial"/>
          <w:sz w:val="22"/>
          <w:szCs w:val="22"/>
        </w:rPr>
        <w:t xml:space="preserve"> of the plaintiff restraining the defendant from letting or parting with possession of the disputed premises shown in blue </w:t>
      </w:r>
      <w:proofErr w:type="spellStart"/>
      <w:r w:rsidRPr="00CE3464">
        <w:rPr>
          <w:rFonts w:ascii="Arial" w:hAnsi="Arial" w:cs="Arial"/>
          <w:sz w:val="22"/>
          <w:szCs w:val="22"/>
        </w:rPr>
        <w:t>colour</w:t>
      </w:r>
      <w:proofErr w:type="spellEnd"/>
      <w:r w:rsidRPr="00CE3464">
        <w:rPr>
          <w:rFonts w:ascii="Arial" w:hAnsi="Arial" w:cs="Arial"/>
          <w:sz w:val="22"/>
          <w:szCs w:val="22"/>
        </w:rPr>
        <w:t xml:space="preserve"> in the annexed plan with the plaint forming part of property No. .................... </w:t>
      </w:r>
      <w:proofErr w:type="gramStart"/>
      <w:r w:rsidRPr="00CE3464">
        <w:rPr>
          <w:rFonts w:ascii="Arial" w:hAnsi="Arial" w:cs="Arial"/>
          <w:sz w:val="22"/>
          <w:szCs w:val="22"/>
        </w:rPr>
        <w:t>till</w:t>
      </w:r>
      <w:proofErr w:type="gramEnd"/>
      <w:r w:rsidRPr="00CE3464">
        <w:rPr>
          <w:rFonts w:ascii="Arial" w:hAnsi="Arial" w:cs="Arial"/>
          <w:sz w:val="22"/>
          <w:szCs w:val="22"/>
        </w:rPr>
        <w:t xml:space="preserve"> the disposal of the suit. Any other relief that this </w:t>
      </w:r>
      <w:proofErr w:type="spellStart"/>
      <w:r w:rsidRPr="00CE3464">
        <w:rPr>
          <w:rFonts w:ascii="Arial" w:hAnsi="Arial" w:cs="Arial"/>
          <w:sz w:val="22"/>
          <w:szCs w:val="22"/>
        </w:rPr>
        <w:t>Hon’ble</w:t>
      </w:r>
      <w:proofErr w:type="spellEnd"/>
      <w:r w:rsidRPr="00CE3464">
        <w:rPr>
          <w:rFonts w:ascii="Arial" w:hAnsi="Arial" w:cs="Arial"/>
          <w:sz w:val="22"/>
          <w:szCs w:val="22"/>
        </w:rPr>
        <w:t xml:space="preserve"> Court deems fit may also </w:t>
      </w:r>
      <w:proofErr w:type="gramStart"/>
      <w:r w:rsidRPr="00CE3464">
        <w:rPr>
          <w:rFonts w:ascii="Arial" w:hAnsi="Arial" w:cs="Arial"/>
          <w:sz w:val="22"/>
          <w:szCs w:val="22"/>
        </w:rPr>
        <w:t>be</w:t>
      </w:r>
      <w:proofErr w:type="gramEnd"/>
      <w:r w:rsidRPr="00CE3464">
        <w:rPr>
          <w:rFonts w:ascii="Arial" w:hAnsi="Arial" w:cs="Arial"/>
          <w:sz w:val="22"/>
          <w:szCs w:val="22"/>
        </w:rPr>
        <w:t xml:space="preserve"> granted to the plaintiff.</w:t>
      </w:r>
    </w:p>
    <w:p w:rsidR="00CE3464" w:rsidRPr="00CE3464" w:rsidRDefault="00CE3464" w:rsidP="00CE3464">
      <w:pPr>
        <w:pStyle w:val="NormalWeb"/>
        <w:jc w:val="right"/>
        <w:rPr>
          <w:rFonts w:ascii="Arial" w:hAnsi="Arial" w:cs="Arial"/>
          <w:sz w:val="22"/>
          <w:szCs w:val="22"/>
        </w:rPr>
      </w:pPr>
      <w:r w:rsidRPr="00CE3464">
        <w:rPr>
          <w:rFonts w:ascii="Arial" w:hAnsi="Arial" w:cs="Arial"/>
          <w:sz w:val="22"/>
          <w:szCs w:val="22"/>
        </w:rPr>
        <w:t>Plaintiff</w:t>
      </w:r>
    </w:p>
    <w:p w:rsidR="00CE3464" w:rsidRPr="00CE3464" w:rsidRDefault="00CE3464" w:rsidP="00CE3464">
      <w:pPr>
        <w:rPr>
          <w:rFonts w:ascii="Arial" w:hAnsi="Arial" w:cs="Arial"/>
          <w:sz w:val="22"/>
          <w:szCs w:val="22"/>
        </w:rPr>
      </w:pPr>
    </w:p>
    <w:p w:rsidR="00926DB9" w:rsidRPr="00CE3464" w:rsidRDefault="00926DB9">
      <w:pPr>
        <w:rPr>
          <w:rFonts w:ascii="Arial" w:hAnsi="Arial" w:cs="Arial"/>
          <w:sz w:val="22"/>
          <w:szCs w:val="22"/>
        </w:rPr>
      </w:pPr>
    </w:p>
    <w:sectPr w:rsidR="00926DB9" w:rsidRPr="00CE3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2C1"/>
    <w:rsid w:val="001E12C1"/>
    <w:rsid w:val="006D0563"/>
    <w:rsid w:val="00926DB9"/>
    <w:rsid w:val="00CE3464"/>
    <w:rsid w:val="00EC1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464"/>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E346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464"/>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E34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APPLICATION%20UNDER%20ORDER%2039,%20RULES%201%20AND%202%20AND%20SECTION%20151%20C.%20P.%20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UNDER ORDER 39, RULES 1 AND 2 AND SECTION 151 C. P. C.</Template>
  <TotalTime>1</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2024-06-15T12:04:00Z</dcterms:created>
  <dcterms:modified xsi:type="dcterms:W3CDTF">2024-06-15T12:04:00Z</dcterms:modified>
</cp:coreProperties>
</file>