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E1" w:rsidRPr="00C500D0" w:rsidRDefault="001A3DE1" w:rsidP="00C500D0">
      <w:pPr>
        <w:pStyle w:val="NormalWeb"/>
        <w:spacing w:line="276" w:lineRule="auto"/>
        <w:jc w:val="center"/>
        <w:rPr>
          <w:rFonts w:ascii="Century Gothic" w:hAnsi="Century Gothic" w:cs="Arial"/>
          <w:b/>
          <w:bCs/>
          <w:szCs w:val="22"/>
        </w:rPr>
      </w:pPr>
      <w:bookmarkStart w:id="0" w:name="_GoBack"/>
      <w:r w:rsidRPr="00C500D0">
        <w:rPr>
          <w:rFonts w:ascii="Century Gothic" w:hAnsi="Century Gothic" w:cs="Arial"/>
          <w:b/>
          <w:bCs/>
          <w:szCs w:val="22"/>
        </w:rPr>
        <w:t>APPLICATION UNDER RULE 159 OF THE RAJASTHAN HIGH COURT RULES FOR ENTERING INTO CAVEAT</w:t>
      </w:r>
    </w:p>
    <w:p w:rsidR="001A3DE1" w:rsidRPr="00C500D0" w:rsidRDefault="001A3DE1" w:rsidP="00C500D0">
      <w:pPr>
        <w:pStyle w:val="NormalWeb"/>
        <w:spacing w:line="276" w:lineRule="auto"/>
        <w:rPr>
          <w:rFonts w:ascii="Century Gothic" w:hAnsi="Century Gothic" w:cs="Arial"/>
          <w:szCs w:val="22"/>
        </w:rPr>
      </w:pPr>
      <w:r w:rsidRPr="00C500D0">
        <w:rPr>
          <w:rFonts w:ascii="Century Gothic" w:hAnsi="Century Gothic" w:cs="Arial"/>
          <w:szCs w:val="22"/>
        </w:rPr>
        <w:t>FORM OF CAVEAT IN RAJASTHAN HIGH COURT</w:t>
      </w:r>
    </w:p>
    <w:p w:rsidR="001A3DE1" w:rsidRPr="00C500D0" w:rsidRDefault="001A3DE1" w:rsidP="00C500D0">
      <w:pPr>
        <w:pStyle w:val="NormalWeb"/>
        <w:spacing w:line="276" w:lineRule="auto"/>
        <w:rPr>
          <w:rFonts w:ascii="Century Gothic" w:hAnsi="Century Gothic" w:cs="Arial"/>
          <w:szCs w:val="22"/>
        </w:rPr>
      </w:pPr>
      <w:r w:rsidRPr="00C500D0">
        <w:rPr>
          <w:rFonts w:ascii="Century Gothic" w:hAnsi="Century Gothic" w:cs="Arial"/>
          <w:szCs w:val="22"/>
        </w:rPr>
        <w:t>IN THE HIGH COURT OF JUDICATURE FOR RAJASTHAN AT JAIPUR</w:t>
      </w:r>
    </w:p>
    <w:p w:rsidR="001A3DE1" w:rsidRPr="00C500D0" w:rsidRDefault="001A3DE1" w:rsidP="00C500D0">
      <w:pPr>
        <w:pStyle w:val="NormalWeb"/>
        <w:spacing w:line="276" w:lineRule="auto"/>
        <w:rPr>
          <w:rFonts w:ascii="Century Gothic" w:hAnsi="Century Gothic" w:cs="Arial"/>
          <w:szCs w:val="22"/>
        </w:rPr>
      </w:pPr>
      <w:r w:rsidRPr="00C500D0">
        <w:rPr>
          <w:rFonts w:ascii="Century Gothic" w:hAnsi="Century Gothic" w:cs="Arial"/>
          <w:szCs w:val="22"/>
        </w:rPr>
        <w:t>.................... No.................... 19............</w:t>
      </w:r>
    </w:p>
    <w:p w:rsidR="001A3DE1" w:rsidRPr="00C500D0" w:rsidRDefault="001A3DE1" w:rsidP="00C500D0">
      <w:pPr>
        <w:pStyle w:val="NormalWeb"/>
        <w:spacing w:line="276" w:lineRule="auto"/>
        <w:rPr>
          <w:rFonts w:ascii="Century Gothic" w:hAnsi="Century Gothic" w:cs="Arial"/>
          <w:szCs w:val="22"/>
        </w:rPr>
      </w:pPr>
      <w:r w:rsidRPr="00C500D0">
        <w:rPr>
          <w:rFonts w:ascii="Century Gothic" w:hAnsi="Century Gothic" w:cs="Arial"/>
          <w:szCs w:val="22"/>
        </w:rPr>
        <w:t>.............................................</w:t>
      </w:r>
      <w:r w:rsidRPr="00C500D0">
        <w:rPr>
          <w:rFonts w:ascii="Century Gothic" w:hAnsi="Century Gothic" w:cs="Arial"/>
          <w:i/>
          <w:iCs/>
          <w:szCs w:val="22"/>
        </w:rPr>
        <w:t xml:space="preserve">..... </w:t>
      </w:r>
      <w:proofErr w:type="gramStart"/>
      <w:r w:rsidRPr="00C500D0">
        <w:rPr>
          <w:rFonts w:ascii="Century Gothic" w:hAnsi="Century Gothic" w:cs="Arial"/>
          <w:i/>
          <w:iCs/>
          <w:szCs w:val="22"/>
        </w:rPr>
        <w:t>Versus.......</w:t>
      </w:r>
      <w:r w:rsidRPr="00C500D0">
        <w:rPr>
          <w:rFonts w:ascii="Century Gothic" w:hAnsi="Century Gothic" w:cs="Arial"/>
          <w:szCs w:val="22"/>
        </w:rPr>
        <w:t>..............................</w:t>
      </w:r>
      <w:proofErr w:type="gramEnd"/>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t xml:space="preserve">May it please your </w:t>
      </w:r>
      <w:proofErr w:type="gramStart"/>
      <w:r w:rsidRPr="00C500D0">
        <w:rPr>
          <w:rFonts w:ascii="Century Gothic" w:hAnsi="Century Gothic" w:cs="Arial"/>
          <w:szCs w:val="22"/>
        </w:rPr>
        <w:t>Lordships</w:t>
      </w:r>
      <w:proofErr w:type="gramEnd"/>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t>Your Lordships humble applicant wants to enter into caveat under R. 159 of the Rajasthan High Court Rules and let nothing be done till the applicants are heard in the matter. The particulars of the appeal/revision which is likely to be filed are given below:</w:t>
      </w:r>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t>The appeal may be filed by any of the following persons:</w:t>
      </w:r>
    </w:p>
    <w:p w:rsidR="001A3DE1" w:rsidRPr="00C500D0" w:rsidRDefault="001A3DE1" w:rsidP="00C500D0">
      <w:pPr>
        <w:pStyle w:val="NormalWeb"/>
        <w:spacing w:line="276" w:lineRule="auto"/>
        <w:jc w:val="both"/>
        <w:rPr>
          <w:rFonts w:ascii="Century Gothic" w:hAnsi="Century Gothic" w:cs="Arial"/>
          <w:szCs w:val="22"/>
        </w:rPr>
      </w:pPr>
      <w:proofErr w:type="gramStart"/>
      <w:r w:rsidRPr="00C500D0">
        <w:rPr>
          <w:rFonts w:ascii="Century Gothic" w:hAnsi="Century Gothic" w:cs="Arial"/>
          <w:szCs w:val="22"/>
        </w:rPr>
        <w:t>1. ....................</w:t>
      </w:r>
      <w:proofErr w:type="gramEnd"/>
    </w:p>
    <w:p w:rsidR="001A3DE1" w:rsidRPr="00C500D0" w:rsidRDefault="001A3DE1" w:rsidP="00C500D0">
      <w:pPr>
        <w:pStyle w:val="NormalWeb"/>
        <w:spacing w:line="276" w:lineRule="auto"/>
        <w:jc w:val="both"/>
        <w:rPr>
          <w:rFonts w:ascii="Century Gothic" w:hAnsi="Century Gothic" w:cs="Arial"/>
          <w:szCs w:val="22"/>
        </w:rPr>
      </w:pPr>
      <w:proofErr w:type="gramStart"/>
      <w:r w:rsidRPr="00C500D0">
        <w:rPr>
          <w:rFonts w:ascii="Century Gothic" w:hAnsi="Century Gothic" w:cs="Arial"/>
          <w:szCs w:val="22"/>
        </w:rPr>
        <w:t>2. ....................</w:t>
      </w:r>
      <w:proofErr w:type="gramEnd"/>
    </w:p>
    <w:p w:rsidR="001A3DE1" w:rsidRPr="00C500D0" w:rsidRDefault="001A3DE1" w:rsidP="00C500D0">
      <w:pPr>
        <w:pStyle w:val="NormalWeb"/>
        <w:spacing w:line="276" w:lineRule="auto"/>
        <w:jc w:val="both"/>
        <w:rPr>
          <w:rFonts w:ascii="Century Gothic" w:hAnsi="Century Gothic" w:cs="Arial"/>
          <w:szCs w:val="22"/>
        </w:rPr>
      </w:pPr>
      <w:proofErr w:type="gramStart"/>
      <w:r w:rsidRPr="00C500D0">
        <w:rPr>
          <w:rFonts w:ascii="Century Gothic" w:hAnsi="Century Gothic" w:cs="Arial"/>
          <w:szCs w:val="22"/>
        </w:rPr>
        <w:t>3. ....................</w:t>
      </w:r>
      <w:proofErr w:type="gramEnd"/>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t>That the appeal is likely to be filed against:</w:t>
      </w:r>
    </w:p>
    <w:p w:rsidR="001A3DE1" w:rsidRPr="00C500D0" w:rsidRDefault="001A3DE1" w:rsidP="00C500D0">
      <w:pPr>
        <w:pStyle w:val="NormalWeb"/>
        <w:spacing w:line="276" w:lineRule="auto"/>
        <w:jc w:val="both"/>
        <w:rPr>
          <w:rFonts w:ascii="Century Gothic" w:hAnsi="Century Gothic" w:cs="Arial"/>
          <w:szCs w:val="22"/>
        </w:rPr>
      </w:pPr>
      <w:proofErr w:type="gramStart"/>
      <w:r w:rsidRPr="00C500D0">
        <w:rPr>
          <w:rFonts w:ascii="Century Gothic" w:hAnsi="Century Gothic" w:cs="Arial"/>
          <w:szCs w:val="22"/>
        </w:rPr>
        <w:t>1. ....................</w:t>
      </w:r>
      <w:proofErr w:type="gramEnd"/>
    </w:p>
    <w:p w:rsidR="001A3DE1" w:rsidRPr="00C500D0" w:rsidRDefault="001A3DE1" w:rsidP="00C500D0">
      <w:pPr>
        <w:pStyle w:val="NormalWeb"/>
        <w:spacing w:line="276" w:lineRule="auto"/>
        <w:jc w:val="both"/>
        <w:rPr>
          <w:rFonts w:ascii="Century Gothic" w:hAnsi="Century Gothic" w:cs="Arial"/>
          <w:szCs w:val="22"/>
        </w:rPr>
      </w:pPr>
      <w:proofErr w:type="gramStart"/>
      <w:r w:rsidRPr="00C500D0">
        <w:rPr>
          <w:rFonts w:ascii="Century Gothic" w:hAnsi="Century Gothic" w:cs="Arial"/>
          <w:szCs w:val="22"/>
        </w:rPr>
        <w:t>2. ....................</w:t>
      </w:r>
      <w:proofErr w:type="gramEnd"/>
    </w:p>
    <w:p w:rsidR="001A3DE1" w:rsidRPr="00C500D0" w:rsidRDefault="001A3DE1" w:rsidP="00C500D0">
      <w:pPr>
        <w:pStyle w:val="NormalWeb"/>
        <w:spacing w:line="276" w:lineRule="auto"/>
        <w:jc w:val="both"/>
        <w:rPr>
          <w:rFonts w:ascii="Century Gothic" w:hAnsi="Century Gothic" w:cs="Arial"/>
          <w:szCs w:val="22"/>
        </w:rPr>
      </w:pPr>
      <w:proofErr w:type="gramStart"/>
      <w:r w:rsidRPr="00C500D0">
        <w:rPr>
          <w:rFonts w:ascii="Century Gothic" w:hAnsi="Century Gothic" w:cs="Arial"/>
          <w:szCs w:val="22"/>
        </w:rPr>
        <w:t>3. ....................</w:t>
      </w:r>
      <w:proofErr w:type="gramEnd"/>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t xml:space="preserve">That the judgment against which the Revision/Appeal is to be filed is from the Court of.................... </w:t>
      </w:r>
      <w:proofErr w:type="gramStart"/>
      <w:r w:rsidRPr="00C500D0">
        <w:rPr>
          <w:rFonts w:ascii="Century Gothic" w:hAnsi="Century Gothic" w:cs="Arial"/>
          <w:szCs w:val="22"/>
        </w:rPr>
        <w:t>dated</w:t>
      </w:r>
      <w:proofErr w:type="gramEnd"/>
      <w:r w:rsidRPr="00C500D0">
        <w:rPr>
          <w:rFonts w:ascii="Century Gothic" w:hAnsi="Century Gothic" w:cs="Arial"/>
          <w:szCs w:val="22"/>
        </w:rPr>
        <w:t>....................</w:t>
      </w:r>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t>That the Appeal/Revision which is to be filed will be....................</w:t>
      </w:r>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t xml:space="preserve">That </w:t>
      </w:r>
      <w:proofErr w:type="spellStart"/>
      <w:r w:rsidRPr="00C500D0">
        <w:rPr>
          <w:rFonts w:ascii="Century Gothic" w:hAnsi="Century Gothic" w:cs="Arial"/>
          <w:szCs w:val="22"/>
        </w:rPr>
        <w:t>Vakalatnama</w:t>
      </w:r>
      <w:proofErr w:type="spellEnd"/>
      <w:r w:rsidRPr="00C500D0">
        <w:rPr>
          <w:rFonts w:ascii="Century Gothic" w:hAnsi="Century Gothic" w:cs="Arial"/>
          <w:szCs w:val="22"/>
        </w:rPr>
        <w:t xml:space="preserve"> on behalf of </w:t>
      </w:r>
      <w:proofErr w:type="spellStart"/>
      <w:r w:rsidRPr="00C500D0">
        <w:rPr>
          <w:rFonts w:ascii="Century Gothic" w:hAnsi="Century Gothic" w:cs="Arial"/>
          <w:szCs w:val="22"/>
        </w:rPr>
        <w:t>Shri</w:t>
      </w:r>
      <w:proofErr w:type="spellEnd"/>
      <w:r w:rsidRPr="00C500D0">
        <w:rPr>
          <w:rFonts w:ascii="Century Gothic" w:hAnsi="Century Gothic" w:cs="Arial"/>
          <w:szCs w:val="22"/>
        </w:rPr>
        <w:t xml:space="preserve">.................... </w:t>
      </w:r>
      <w:proofErr w:type="gramStart"/>
      <w:r w:rsidRPr="00C500D0">
        <w:rPr>
          <w:rFonts w:ascii="Century Gothic" w:hAnsi="Century Gothic" w:cs="Arial"/>
          <w:szCs w:val="22"/>
        </w:rPr>
        <w:t>is</w:t>
      </w:r>
      <w:proofErr w:type="gramEnd"/>
      <w:r w:rsidRPr="00C500D0">
        <w:rPr>
          <w:rFonts w:ascii="Century Gothic" w:hAnsi="Century Gothic" w:cs="Arial"/>
          <w:szCs w:val="22"/>
        </w:rPr>
        <w:t xml:space="preserve"> submitted herewith.</w:t>
      </w:r>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lastRenderedPageBreak/>
        <w:t>It is, therefore, humbly prayed that nothing be done in the case till the applicants are heard.</w:t>
      </w:r>
    </w:p>
    <w:p w:rsidR="001A3DE1" w:rsidRPr="00C500D0" w:rsidRDefault="001A3DE1" w:rsidP="00C500D0">
      <w:pPr>
        <w:pStyle w:val="NormalWeb"/>
        <w:spacing w:line="276" w:lineRule="auto"/>
        <w:jc w:val="both"/>
        <w:rPr>
          <w:rFonts w:ascii="Century Gothic" w:hAnsi="Century Gothic" w:cs="Arial"/>
          <w:szCs w:val="22"/>
        </w:rPr>
      </w:pPr>
      <w:r w:rsidRPr="00C500D0">
        <w:rPr>
          <w:rFonts w:ascii="Century Gothic" w:hAnsi="Century Gothic" w:cs="Arial"/>
          <w:szCs w:val="22"/>
        </w:rPr>
        <w:t>It is accordingly prayed.</w:t>
      </w:r>
    </w:p>
    <w:p w:rsidR="001A3DE1" w:rsidRPr="00C500D0" w:rsidRDefault="001A3DE1" w:rsidP="00C500D0">
      <w:pPr>
        <w:pStyle w:val="NormalWeb"/>
        <w:spacing w:line="276" w:lineRule="auto"/>
        <w:jc w:val="right"/>
        <w:rPr>
          <w:rFonts w:ascii="Century Gothic" w:hAnsi="Century Gothic" w:cs="Arial"/>
          <w:szCs w:val="22"/>
        </w:rPr>
      </w:pPr>
      <w:r w:rsidRPr="00C500D0">
        <w:rPr>
          <w:rFonts w:ascii="Century Gothic" w:hAnsi="Century Gothic" w:cs="Arial"/>
          <w:szCs w:val="22"/>
        </w:rPr>
        <w:t xml:space="preserve">Petitioner </w:t>
      </w:r>
    </w:p>
    <w:p w:rsidR="001A3DE1" w:rsidRPr="00C500D0" w:rsidRDefault="001A3DE1" w:rsidP="00C500D0">
      <w:pPr>
        <w:pStyle w:val="NormalWeb"/>
        <w:spacing w:line="276" w:lineRule="auto"/>
        <w:ind w:left="5760" w:firstLine="720"/>
        <w:jc w:val="right"/>
        <w:rPr>
          <w:rFonts w:ascii="Century Gothic" w:hAnsi="Century Gothic" w:cs="Arial"/>
          <w:szCs w:val="22"/>
        </w:rPr>
      </w:pPr>
      <w:r w:rsidRPr="00C500D0">
        <w:rPr>
          <w:rFonts w:ascii="Century Gothic" w:hAnsi="Century Gothic" w:cs="Arial"/>
          <w:szCs w:val="22"/>
        </w:rPr>
        <w:t xml:space="preserve">Through Advocate </w:t>
      </w:r>
    </w:p>
    <w:p w:rsidR="001A3DE1" w:rsidRPr="00C500D0" w:rsidRDefault="001A3DE1" w:rsidP="00C500D0">
      <w:pPr>
        <w:pStyle w:val="NormalWeb"/>
        <w:spacing w:line="276" w:lineRule="auto"/>
        <w:rPr>
          <w:rFonts w:ascii="Century Gothic" w:hAnsi="Century Gothic" w:cs="Arial"/>
          <w:szCs w:val="22"/>
        </w:rPr>
      </w:pPr>
      <w:r w:rsidRPr="00C500D0">
        <w:rPr>
          <w:rFonts w:ascii="Century Gothic" w:hAnsi="Century Gothic" w:cs="Arial"/>
          <w:szCs w:val="22"/>
        </w:rPr>
        <w:t>Place</w:t>
      </w:r>
      <w:proofErr w:type="gramStart"/>
      <w:r w:rsidRPr="00C500D0">
        <w:rPr>
          <w:rFonts w:ascii="Century Gothic" w:hAnsi="Century Gothic" w:cs="Arial"/>
          <w:szCs w:val="22"/>
        </w:rPr>
        <w:t>:....................</w:t>
      </w:r>
      <w:proofErr w:type="gramEnd"/>
    </w:p>
    <w:p w:rsidR="001A3DE1" w:rsidRPr="00C500D0" w:rsidRDefault="001A3DE1" w:rsidP="00C500D0">
      <w:pPr>
        <w:pStyle w:val="NormalWeb"/>
        <w:spacing w:line="276" w:lineRule="auto"/>
        <w:rPr>
          <w:rFonts w:ascii="Century Gothic" w:hAnsi="Century Gothic" w:cs="Arial"/>
          <w:szCs w:val="22"/>
        </w:rPr>
      </w:pPr>
      <w:r w:rsidRPr="00C500D0">
        <w:rPr>
          <w:rFonts w:ascii="Century Gothic" w:hAnsi="Century Gothic" w:cs="Arial"/>
          <w:szCs w:val="22"/>
        </w:rPr>
        <w:t>Dated</w:t>
      </w:r>
      <w:proofErr w:type="gramStart"/>
      <w:r w:rsidRPr="00C500D0">
        <w:rPr>
          <w:rFonts w:ascii="Century Gothic" w:hAnsi="Century Gothic" w:cs="Arial"/>
          <w:szCs w:val="22"/>
        </w:rPr>
        <w:t>:....................</w:t>
      </w:r>
      <w:proofErr w:type="gramEnd"/>
    </w:p>
    <w:p w:rsidR="001A3DE1" w:rsidRPr="00C500D0" w:rsidRDefault="001A3DE1" w:rsidP="00C500D0">
      <w:pPr>
        <w:spacing w:line="276" w:lineRule="auto"/>
        <w:rPr>
          <w:rFonts w:ascii="Century Gothic" w:hAnsi="Century Gothic" w:cs="Arial"/>
          <w:szCs w:val="22"/>
        </w:rPr>
      </w:pPr>
    </w:p>
    <w:bookmarkEnd w:id="0"/>
    <w:p w:rsidR="00270574" w:rsidRPr="00C500D0" w:rsidRDefault="00270574" w:rsidP="00C500D0">
      <w:pPr>
        <w:spacing w:line="276" w:lineRule="auto"/>
        <w:rPr>
          <w:rFonts w:ascii="Century Gothic" w:hAnsi="Century Gothic" w:cs="Arial"/>
          <w:szCs w:val="22"/>
        </w:rPr>
      </w:pPr>
    </w:p>
    <w:sectPr w:rsidR="00270574" w:rsidRPr="00C50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79"/>
    <w:rsid w:val="001A3DE1"/>
    <w:rsid w:val="00270574"/>
    <w:rsid w:val="005C747B"/>
    <w:rsid w:val="00C500D0"/>
    <w:rsid w:val="00DE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E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3D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E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3D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RULE%20159%20OF%20THE%20RAJASTHAN%20HIGH%20COURT%20RULES%20FOR%20ENTERING%20INTO%20CAV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RULE 159 OF THE RAJASTHAN HIGH COURT RULES FOR ENTERING INTO CAVEAT</Template>
  <TotalTime>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2024-06-15T12:08:00Z</dcterms:created>
  <dcterms:modified xsi:type="dcterms:W3CDTF">2024-06-15T12:08:00Z</dcterms:modified>
</cp:coreProperties>
</file>