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401" w:rsidRPr="003179ED" w:rsidRDefault="00944401" w:rsidP="003179ED">
      <w:pPr>
        <w:pStyle w:val="NormalWeb"/>
        <w:spacing w:line="276" w:lineRule="auto"/>
        <w:jc w:val="center"/>
        <w:rPr>
          <w:rFonts w:ascii="Century Gothic" w:hAnsi="Century Gothic" w:cs="Arial"/>
          <w:b/>
          <w:bCs/>
          <w:szCs w:val="22"/>
        </w:rPr>
      </w:pPr>
      <w:bookmarkStart w:id="0" w:name="_GoBack"/>
      <w:r w:rsidRPr="003179ED">
        <w:rPr>
          <w:rFonts w:ascii="Century Gothic" w:hAnsi="Century Gothic" w:cs="Arial"/>
          <w:b/>
          <w:bCs/>
          <w:szCs w:val="22"/>
        </w:rPr>
        <w:t>APPLICATION UNDER SECTION 10 CODE OF CIVIL PROCEDURE</w:t>
      </w:r>
    </w:p>
    <w:p w:rsidR="00944401" w:rsidRPr="003179ED" w:rsidRDefault="00944401" w:rsidP="003179ED">
      <w:pPr>
        <w:pStyle w:val="NormalWeb"/>
        <w:spacing w:line="276" w:lineRule="auto"/>
        <w:rPr>
          <w:rFonts w:ascii="Century Gothic" w:hAnsi="Century Gothic" w:cs="Arial"/>
          <w:szCs w:val="22"/>
        </w:rPr>
      </w:pPr>
      <w:r w:rsidRPr="003179ED">
        <w:rPr>
          <w:rFonts w:ascii="Century Gothic" w:hAnsi="Century Gothic" w:cs="Arial"/>
          <w:szCs w:val="22"/>
        </w:rPr>
        <w:t>IN THE COURT OF THE....................</w:t>
      </w:r>
    </w:p>
    <w:p w:rsidR="00944401" w:rsidRPr="003179ED" w:rsidRDefault="00944401" w:rsidP="003179ED">
      <w:pPr>
        <w:pStyle w:val="NormalWeb"/>
        <w:spacing w:line="276" w:lineRule="auto"/>
        <w:rPr>
          <w:rFonts w:ascii="Century Gothic" w:hAnsi="Century Gothic" w:cs="Arial"/>
          <w:szCs w:val="22"/>
        </w:rPr>
      </w:pPr>
      <w:r w:rsidRPr="003179ED">
        <w:rPr>
          <w:rFonts w:ascii="Century Gothic" w:hAnsi="Century Gothic" w:cs="Arial"/>
          <w:szCs w:val="22"/>
        </w:rPr>
        <w:t xml:space="preserve">Suit No..................... </w:t>
      </w:r>
      <w:proofErr w:type="gramStart"/>
      <w:r w:rsidRPr="003179ED">
        <w:rPr>
          <w:rFonts w:ascii="Century Gothic" w:hAnsi="Century Gothic" w:cs="Arial"/>
          <w:szCs w:val="22"/>
        </w:rPr>
        <w:t>of</w:t>
      </w:r>
      <w:proofErr w:type="gramEnd"/>
      <w:r w:rsidRPr="003179ED">
        <w:rPr>
          <w:rFonts w:ascii="Century Gothic" w:hAnsi="Century Gothic" w:cs="Arial"/>
          <w:szCs w:val="22"/>
        </w:rPr>
        <w:t xml:space="preserve"> 19....................</w:t>
      </w:r>
    </w:p>
    <w:p w:rsidR="00944401" w:rsidRPr="003179ED" w:rsidRDefault="00944401" w:rsidP="003179ED">
      <w:pPr>
        <w:pStyle w:val="NormalWeb"/>
        <w:spacing w:line="276" w:lineRule="auto"/>
        <w:jc w:val="center"/>
        <w:rPr>
          <w:rFonts w:ascii="Century Gothic" w:hAnsi="Century Gothic" w:cs="Arial"/>
          <w:szCs w:val="22"/>
        </w:rPr>
      </w:pPr>
      <w:r w:rsidRPr="003179ED">
        <w:rPr>
          <w:rFonts w:ascii="Century Gothic" w:hAnsi="Century Gothic" w:cs="Arial"/>
          <w:szCs w:val="22"/>
        </w:rPr>
        <w:t>C. D.................................................................... Plaintiff</w:t>
      </w:r>
    </w:p>
    <w:p w:rsidR="00944401" w:rsidRPr="003179ED" w:rsidRDefault="00944401" w:rsidP="003179ED">
      <w:pPr>
        <w:pStyle w:val="NormalWeb"/>
        <w:spacing w:line="276" w:lineRule="auto"/>
        <w:jc w:val="center"/>
        <w:rPr>
          <w:rFonts w:ascii="Century Gothic" w:hAnsi="Century Gothic" w:cs="Arial"/>
          <w:i/>
          <w:iCs/>
          <w:szCs w:val="22"/>
        </w:rPr>
      </w:pPr>
      <w:proofErr w:type="gramStart"/>
      <w:r w:rsidRPr="003179ED">
        <w:rPr>
          <w:rFonts w:ascii="Century Gothic" w:hAnsi="Century Gothic" w:cs="Arial"/>
          <w:i/>
          <w:iCs/>
          <w:szCs w:val="22"/>
        </w:rPr>
        <w:t>versus</w:t>
      </w:r>
      <w:proofErr w:type="gramEnd"/>
      <w:r w:rsidRPr="003179ED">
        <w:rPr>
          <w:rFonts w:ascii="Century Gothic" w:hAnsi="Century Gothic" w:cs="Arial"/>
          <w:i/>
          <w:iCs/>
          <w:szCs w:val="22"/>
        </w:rPr>
        <w:t xml:space="preserve"> </w:t>
      </w:r>
    </w:p>
    <w:p w:rsidR="00944401" w:rsidRPr="003179ED" w:rsidRDefault="00944401" w:rsidP="003179ED">
      <w:pPr>
        <w:pStyle w:val="NormalWeb"/>
        <w:spacing w:line="276" w:lineRule="auto"/>
        <w:jc w:val="center"/>
        <w:rPr>
          <w:rFonts w:ascii="Century Gothic" w:hAnsi="Century Gothic" w:cs="Arial"/>
          <w:szCs w:val="22"/>
        </w:rPr>
      </w:pPr>
      <w:r w:rsidRPr="003179ED">
        <w:rPr>
          <w:rFonts w:ascii="Century Gothic" w:hAnsi="Century Gothic" w:cs="Arial"/>
          <w:szCs w:val="22"/>
        </w:rPr>
        <w:t>C. F................................................................. Defendant</w:t>
      </w:r>
    </w:p>
    <w:p w:rsidR="00944401" w:rsidRPr="003179ED" w:rsidRDefault="00944401" w:rsidP="003179ED">
      <w:pPr>
        <w:pStyle w:val="NormalWeb"/>
        <w:spacing w:line="276" w:lineRule="auto"/>
        <w:rPr>
          <w:rFonts w:ascii="Century Gothic" w:hAnsi="Century Gothic" w:cs="Arial"/>
          <w:szCs w:val="22"/>
        </w:rPr>
      </w:pPr>
      <w:r w:rsidRPr="003179ED">
        <w:rPr>
          <w:rFonts w:ascii="Century Gothic" w:hAnsi="Century Gothic" w:cs="Arial"/>
          <w:szCs w:val="22"/>
        </w:rPr>
        <w:t>The applicant most respectfully submits as under: —</w:t>
      </w:r>
    </w:p>
    <w:p w:rsidR="00944401" w:rsidRPr="003179ED" w:rsidRDefault="00944401" w:rsidP="003179ED">
      <w:pPr>
        <w:pStyle w:val="NormalWeb"/>
        <w:spacing w:line="276" w:lineRule="auto"/>
        <w:jc w:val="both"/>
        <w:rPr>
          <w:rFonts w:ascii="Century Gothic" w:hAnsi="Century Gothic" w:cs="Arial"/>
          <w:szCs w:val="22"/>
        </w:rPr>
      </w:pPr>
      <w:r w:rsidRPr="003179ED">
        <w:rPr>
          <w:rFonts w:ascii="Century Gothic" w:hAnsi="Century Gothic" w:cs="Arial"/>
          <w:szCs w:val="22"/>
        </w:rPr>
        <w:t xml:space="preserve">1. That the applicant-plaintiff has filed a suit against the defendant in this </w:t>
      </w:r>
      <w:proofErr w:type="spellStart"/>
      <w:r w:rsidRPr="003179ED">
        <w:rPr>
          <w:rFonts w:ascii="Century Gothic" w:hAnsi="Century Gothic" w:cs="Arial"/>
          <w:szCs w:val="22"/>
        </w:rPr>
        <w:t>Hon’ble</w:t>
      </w:r>
      <w:proofErr w:type="spellEnd"/>
      <w:r w:rsidRPr="003179ED">
        <w:rPr>
          <w:rFonts w:ascii="Century Gothic" w:hAnsi="Century Gothic" w:cs="Arial"/>
          <w:szCs w:val="22"/>
        </w:rPr>
        <w:t xml:space="preserve"> Court on....................</w:t>
      </w:r>
    </w:p>
    <w:p w:rsidR="00944401" w:rsidRPr="003179ED" w:rsidRDefault="00944401" w:rsidP="003179ED">
      <w:pPr>
        <w:pStyle w:val="NormalWeb"/>
        <w:spacing w:line="276" w:lineRule="auto"/>
        <w:jc w:val="both"/>
        <w:rPr>
          <w:rFonts w:ascii="Century Gothic" w:hAnsi="Century Gothic" w:cs="Arial"/>
          <w:szCs w:val="22"/>
        </w:rPr>
      </w:pPr>
      <w:r w:rsidRPr="003179ED">
        <w:rPr>
          <w:rFonts w:ascii="Century Gothic" w:hAnsi="Century Gothic" w:cs="Arial"/>
          <w:szCs w:val="22"/>
        </w:rPr>
        <w:t xml:space="preserve">2. That the defendant has also filed a suit in this </w:t>
      </w:r>
      <w:proofErr w:type="spellStart"/>
      <w:r w:rsidRPr="003179ED">
        <w:rPr>
          <w:rFonts w:ascii="Century Gothic" w:hAnsi="Century Gothic" w:cs="Arial"/>
          <w:szCs w:val="22"/>
        </w:rPr>
        <w:t>Hon’ble</w:t>
      </w:r>
      <w:proofErr w:type="spellEnd"/>
      <w:r w:rsidRPr="003179ED">
        <w:rPr>
          <w:rFonts w:ascii="Century Gothic" w:hAnsi="Century Gothic" w:cs="Arial"/>
          <w:szCs w:val="22"/>
        </w:rPr>
        <w:t xml:space="preserve"> Court </w:t>
      </w:r>
      <w:proofErr w:type="gramStart"/>
      <w:r w:rsidRPr="003179ED">
        <w:rPr>
          <w:rFonts w:ascii="Century Gothic" w:hAnsi="Century Gothic" w:cs="Arial"/>
          <w:szCs w:val="22"/>
        </w:rPr>
        <w:t>on ....................</w:t>
      </w:r>
      <w:proofErr w:type="gramEnd"/>
      <w:r w:rsidRPr="003179ED">
        <w:rPr>
          <w:rFonts w:ascii="Century Gothic" w:hAnsi="Century Gothic" w:cs="Arial"/>
          <w:szCs w:val="22"/>
        </w:rPr>
        <w:t xml:space="preserve"> </w:t>
      </w:r>
      <w:proofErr w:type="gramStart"/>
      <w:r w:rsidRPr="003179ED">
        <w:rPr>
          <w:rFonts w:ascii="Century Gothic" w:hAnsi="Century Gothic" w:cs="Arial"/>
          <w:szCs w:val="22"/>
        </w:rPr>
        <w:t>impleading</w:t>
      </w:r>
      <w:proofErr w:type="gramEnd"/>
      <w:r w:rsidRPr="003179ED">
        <w:rPr>
          <w:rFonts w:ascii="Century Gothic" w:hAnsi="Century Gothic" w:cs="Arial"/>
          <w:szCs w:val="22"/>
        </w:rPr>
        <w:t xml:space="preserve"> applicant as defendant in the said suit. A certified copy of the plaint as filed by the defendant is annexed hereto and marked as Annexure ‘A’.</w:t>
      </w:r>
    </w:p>
    <w:p w:rsidR="00944401" w:rsidRPr="003179ED" w:rsidRDefault="00944401" w:rsidP="003179ED">
      <w:pPr>
        <w:pStyle w:val="NormalWeb"/>
        <w:spacing w:line="276" w:lineRule="auto"/>
        <w:jc w:val="both"/>
        <w:rPr>
          <w:rFonts w:ascii="Century Gothic" w:hAnsi="Century Gothic" w:cs="Arial"/>
          <w:szCs w:val="22"/>
        </w:rPr>
      </w:pPr>
      <w:r w:rsidRPr="003179ED">
        <w:rPr>
          <w:rFonts w:ascii="Century Gothic" w:hAnsi="Century Gothic" w:cs="Arial"/>
          <w:szCs w:val="22"/>
        </w:rPr>
        <w:t>3. That the matter in issue in the suit filed by defendant is also directly and substantially the same in the previously instituted suit by the plaintiff and the parties are the same.</w:t>
      </w:r>
    </w:p>
    <w:p w:rsidR="00944401" w:rsidRPr="003179ED" w:rsidRDefault="00944401" w:rsidP="003179ED">
      <w:pPr>
        <w:pStyle w:val="NormalWeb"/>
        <w:spacing w:line="276" w:lineRule="auto"/>
        <w:jc w:val="both"/>
        <w:rPr>
          <w:rFonts w:ascii="Century Gothic" w:hAnsi="Century Gothic" w:cs="Arial"/>
          <w:szCs w:val="22"/>
        </w:rPr>
      </w:pPr>
      <w:r w:rsidRPr="003179ED">
        <w:rPr>
          <w:rFonts w:ascii="Century Gothic" w:hAnsi="Century Gothic" w:cs="Arial"/>
          <w:szCs w:val="22"/>
        </w:rPr>
        <w:t xml:space="preserve">4. That the suit filed by the plaintiff is pending in this </w:t>
      </w:r>
      <w:proofErr w:type="spellStart"/>
      <w:r w:rsidRPr="003179ED">
        <w:rPr>
          <w:rFonts w:ascii="Century Gothic" w:hAnsi="Century Gothic" w:cs="Arial"/>
          <w:szCs w:val="22"/>
        </w:rPr>
        <w:t>Hon’ble</w:t>
      </w:r>
      <w:proofErr w:type="spellEnd"/>
      <w:r w:rsidRPr="003179ED">
        <w:rPr>
          <w:rFonts w:ascii="Century Gothic" w:hAnsi="Century Gothic" w:cs="Arial"/>
          <w:szCs w:val="22"/>
        </w:rPr>
        <w:t xml:space="preserve"> Court.</w:t>
      </w:r>
    </w:p>
    <w:p w:rsidR="00944401" w:rsidRPr="003179ED" w:rsidRDefault="00944401" w:rsidP="003179ED">
      <w:pPr>
        <w:pStyle w:val="NormalWeb"/>
        <w:spacing w:line="276" w:lineRule="auto"/>
        <w:jc w:val="both"/>
        <w:rPr>
          <w:rFonts w:ascii="Century Gothic" w:hAnsi="Century Gothic" w:cs="Arial"/>
          <w:szCs w:val="22"/>
        </w:rPr>
      </w:pPr>
      <w:r w:rsidRPr="003179ED">
        <w:rPr>
          <w:rFonts w:ascii="Century Gothic" w:hAnsi="Century Gothic" w:cs="Arial"/>
          <w:szCs w:val="22"/>
        </w:rPr>
        <w:t xml:space="preserve">5. That this </w:t>
      </w:r>
      <w:proofErr w:type="spellStart"/>
      <w:r w:rsidRPr="003179ED">
        <w:rPr>
          <w:rFonts w:ascii="Century Gothic" w:hAnsi="Century Gothic" w:cs="Arial"/>
          <w:szCs w:val="22"/>
        </w:rPr>
        <w:t>Hon’ble</w:t>
      </w:r>
      <w:proofErr w:type="spellEnd"/>
      <w:r w:rsidRPr="003179ED">
        <w:rPr>
          <w:rFonts w:ascii="Century Gothic" w:hAnsi="Century Gothic" w:cs="Arial"/>
          <w:szCs w:val="22"/>
        </w:rPr>
        <w:t xml:space="preserve"> court has got jurisdiction to grant relief claimed in both the suits.</w:t>
      </w:r>
    </w:p>
    <w:p w:rsidR="00944401" w:rsidRPr="003179ED" w:rsidRDefault="00944401" w:rsidP="003179ED">
      <w:pPr>
        <w:pStyle w:val="NormalWeb"/>
        <w:spacing w:line="276" w:lineRule="auto"/>
        <w:jc w:val="center"/>
        <w:rPr>
          <w:rFonts w:ascii="Century Gothic" w:hAnsi="Century Gothic" w:cs="Arial"/>
          <w:b/>
          <w:bCs/>
          <w:szCs w:val="22"/>
        </w:rPr>
      </w:pPr>
      <w:r w:rsidRPr="003179ED">
        <w:rPr>
          <w:rFonts w:ascii="Century Gothic" w:hAnsi="Century Gothic" w:cs="Arial"/>
          <w:b/>
          <w:bCs/>
          <w:szCs w:val="22"/>
        </w:rPr>
        <w:t>PRAYER</w:t>
      </w:r>
    </w:p>
    <w:p w:rsidR="00944401" w:rsidRPr="003179ED" w:rsidRDefault="00944401" w:rsidP="003179ED">
      <w:pPr>
        <w:pStyle w:val="NormalWeb"/>
        <w:spacing w:line="276" w:lineRule="auto"/>
        <w:jc w:val="both"/>
        <w:rPr>
          <w:rFonts w:ascii="Century Gothic" w:hAnsi="Century Gothic" w:cs="Arial"/>
          <w:szCs w:val="22"/>
        </w:rPr>
      </w:pPr>
      <w:r w:rsidRPr="003179ED">
        <w:rPr>
          <w:rFonts w:ascii="Century Gothic" w:hAnsi="Century Gothic" w:cs="Arial"/>
          <w:szCs w:val="22"/>
        </w:rPr>
        <w:t>It is therefore most respectfully prayed that the trial of the suit filed by the defendant be stayed till the suit of plaintiff is finally heard and disposed of.</w:t>
      </w:r>
    </w:p>
    <w:p w:rsidR="00944401" w:rsidRPr="003179ED" w:rsidRDefault="00944401" w:rsidP="003179ED">
      <w:pPr>
        <w:pStyle w:val="NormalWeb"/>
        <w:spacing w:line="276" w:lineRule="auto"/>
        <w:jc w:val="right"/>
        <w:rPr>
          <w:rFonts w:ascii="Century Gothic" w:hAnsi="Century Gothic" w:cs="Arial"/>
          <w:szCs w:val="22"/>
        </w:rPr>
      </w:pPr>
      <w:r w:rsidRPr="003179ED">
        <w:rPr>
          <w:rFonts w:ascii="Century Gothic" w:hAnsi="Century Gothic" w:cs="Arial"/>
          <w:szCs w:val="22"/>
        </w:rPr>
        <w:t>Place.................... Plaintiff</w:t>
      </w:r>
    </w:p>
    <w:p w:rsidR="00944401" w:rsidRPr="003179ED" w:rsidRDefault="00944401" w:rsidP="003179ED">
      <w:pPr>
        <w:pStyle w:val="NormalWeb"/>
        <w:spacing w:line="276" w:lineRule="auto"/>
        <w:rPr>
          <w:rFonts w:ascii="Century Gothic" w:hAnsi="Century Gothic" w:cs="Arial"/>
          <w:szCs w:val="22"/>
        </w:rPr>
      </w:pPr>
      <w:r w:rsidRPr="003179ED">
        <w:rPr>
          <w:rFonts w:ascii="Century Gothic" w:hAnsi="Century Gothic" w:cs="Arial"/>
          <w:szCs w:val="22"/>
        </w:rPr>
        <w:t>Dated.................... Through</w:t>
      </w:r>
    </w:p>
    <w:p w:rsidR="00944401" w:rsidRPr="003179ED" w:rsidRDefault="00944401" w:rsidP="003179ED">
      <w:pPr>
        <w:pStyle w:val="NormalWeb"/>
        <w:spacing w:line="276" w:lineRule="auto"/>
        <w:jc w:val="right"/>
        <w:rPr>
          <w:rFonts w:ascii="Century Gothic" w:hAnsi="Century Gothic" w:cs="Arial"/>
          <w:szCs w:val="22"/>
        </w:rPr>
      </w:pPr>
      <w:r w:rsidRPr="003179ED">
        <w:rPr>
          <w:rFonts w:ascii="Century Gothic" w:hAnsi="Century Gothic" w:cs="Arial"/>
          <w:szCs w:val="22"/>
        </w:rPr>
        <w:t>Advocate</w:t>
      </w:r>
    </w:p>
    <w:p w:rsidR="00944401" w:rsidRPr="003179ED" w:rsidRDefault="00944401" w:rsidP="003179ED">
      <w:pPr>
        <w:pStyle w:val="NormalWeb"/>
        <w:spacing w:line="276" w:lineRule="auto"/>
        <w:jc w:val="center"/>
        <w:rPr>
          <w:rFonts w:ascii="Century Gothic" w:hAnsi="Century Gothic" w:cs="Arial"/>
          <w:b/>
          <w:bCs/>
          <w:szCs w:val="22"/>
        </w:rPr>
      </w:pPr>
      <w:r w:rsidRPr="003179ED">
        <w:rPr>
          <w:rFonts w:ascii="Century Gothic" w:hAnsi="Century Gothic" w:cs="Arial"/>
          <w:b/>
          <w:bCs/>
          <w:szCs w:val="22"/>
        </w:rPr>
        <w:lastRenderedPageBreak/>
        <w:t>CASE LAW</w:t>
      </w:r>
    </w:p>
    <w:p w:rsidR="00944401" w:rsidRPr="003179ED" w:rsidRDefault="00944401" w:rsidP="003179ED">
      <w:pPr>
        <w:pStyle w:val="NormalWeb"/>
        <w:spacing w:line="276" w:lineRule="auto"/>
        <w:rPr>
          <w:rFonts w:ascii="Century Gothic" w:hAnsi="Century Gothic" w:cs="Arial"/>
          <w:b/>
          <w:bCs/>
          <w:i/>
          <w:iCs/>
          <w:szCs w:val="22"/>
        </w:rPr>
      </w:pPr>
      <w:r w:rsidRPr="003179ED">
        <w:rPr>
          <w:rFonts w:ascii="Century Gothic" w:hAnsi="Century Gothic" w:cs="Arial"/>
          <w:b/>
          <w:bCs/>
          <w:i/>
          <w:iCs/>
          <w:szCs w:val="22"/>
        </w:rPr>
        <w:t>Section 10</w:t>
      </w:r>
    </w:p>
    <w:p w:rsidR="00944401" w:rsidRPr="003179ED" w:rsidRDefault="00944401" w:rsidP="003179ED">
      <w:pPr>
        <w:pStyle w:val="NormalWeb"/>
        <w:spacing w:line="276" w:lineRule="auto"/>
        <w:jc w:val="both"/>
        <w:rPr>
          <w:rFonts w:ascii="Century Gothic" w:hAnsi="Century Gothic" w:cs="Arial"/>
          <w:szCs w:val="22"/>
        </w:rPr>
      </w:pPr>
      <w:r w:rsidRPr="003179ED">
        <w:rPr>
          <w:rFonts w:ascii="Century Gothic" w:hAnsi="Century Gothic" w:cs="Arial"/>
          <w:szCs w:val="22"/>
        </w:rPr>
        <w:t>The ejectment proceedings and probate proceedings are distinct and different. Issue involved in two proceedings cannot be identical. There is no question of applicability of Section 10 C. P. C.1</w:t>
      </w:r>
    </w:p>
    <w:p w:rsidR="00944401" w:rsidRPr="003179ED" w:rsidRDefault="00944401" w:rsidP="003179ED">
      <w:pPr>
        <w:pStyle w:val="NormalWeb"/>
        <w:spacing w:line="276" w:lineRule="auto"/>
        <w:jc w:val="both"/>
        <w:rPr>
          <w:rFonts w:ascii="Century Gothic" w:hAnsi="Century Gothic" w:cs="Arial"/>
          <w:b/>
          <w:bCs/>
          <w:szCs w:val="22"/>
        </w:rPr>
      </w:pPr>
      <w:proofErr w:type="gramStart"/>
      <w:r w:rsidRPr="003179ED">
        <w:rPr>
          <w:rFonts w:ascii="Century Gothic" w:hAnsi="Century Gothic" w:cs="Arial"/>
          <w:b/>
          <w:bCs/>
          <w:szCs w:val="22"/>
        </w:rPr>
        <w:t>STAY OF SUIT.</w:t>
      </w:r>
      <w:proofErr w:type="gramEnd"/>
    </w:p>
    <w:p w:rsidR="00944401" w:rsidRPr="003179ED" w:rsidRDefault="00944401" w:rsidP="003179ED">
      <w:pPr>
        <w:pStyle w:val="NormalWeb"/>
        <w:spacing w:line="276" w:lineRule="auto"/>
        <w:jc w:val="both"/>
        <w:rPr>
          <w:rFonts w:ascii="Century Gothic" w:hAnsi="Century Gothic" w:cs="Arial"/>
          <w:szCs w:val="22"/>
        </w:rPr>
      </w:pPr>
      <w:r w:rsidRPr="003179ED">
        <w:rPr>
          <w:rFonts w:ascii="Century Gothic" w:hAnsi="Century Gothic" w:cs="Arial"/>
          <w:szCs w:val="22"/>
        </w:rPr>
        <w:t>When the causes of action are entirely different and there is no common issue in both the suits prayer for staying later suit cannot be allowed.2</w:t>
      </w:r>
    </w:p>
    <w:p w:rsidR="00944401" w:rsidRPr="003179ED" w:rsidRDefault="00944401" w:rsidP="003179ED">
      <w:pPr>
        <w:pStyle w:val="NormalWeb"/>
        <w:spacing w:line="276" w:lineRule="auto"/>
        <w:rPr>
          <w:rFonts w:ascii="Century Gothic" w:hAnsi="Century Gothic" w:cs="Arial"/>
          <w:b/>
          <w:bCs/>
          <w:szCs w:val="22"/>
        </w:rPr>
      </w:pPr>
      <w:r w:rsidRPr="003179ED">
        <w:rPr>
          <w:rFonts w:ascii="Century Gothic" w:hAnsi="Century Gothic" w:cs="Arial"/>
          <w:b/>
          <w:bCs/>
          <w:szCs w:val="22"/>
        </w:rPr>
        <w:t>STAY OF SUIT FOR RECOVERY OF AMOUNT COVERED UNDER THE DISHONOURED CHEQUE</w:t>
      </w:r>
    </w:p>
    <w:p w:rsidR="00944401" w:rsidRPr="003179ED" w:rsidRDefault="00944401" w:rsidP="003179ED">
      <w:pPr>
        <w:pStyle w:val="NormalWeb"/>
        <w:spacing w:line="276" w:lineRule="auto"/>
        <w:rPr>
          <w:rFonts w:ascii="Century Gothic" w:hAnsi="Century Gothic" w:cs="Arial"/>
          <w:b/>
          <w:bCs/>
          <w:i/>
          <w:iCs/>
          <w:szCs w:val="22"/>
        </w:rPr>
      </w:pPr>
      <w:r w:rsidRPr="003179ED">
        <w:rPr>
          <w:rFonts w:ascii="Century Gothic" w:hAnsi="Century Gothic" w:cs="Arial"/>
          <w:b/>
          <w:bCs/>
          <w:i/>
          <w:iCs/>
          <w:szCs w:val="22"/>
        </w:rPr>
        <w:t>Sections 10 and 15</w:t>
      </w:r>
    </w:p>
    <w:p w:rsidR="00944401" w:rsidRPr="003179ED" w:rsidRDefault="00944401" w:rsidP="003179ED">
      <w:pPr>
        <w:pStyle w:val="NormalWeb"/>
        <w:spacing w:line="276" w:lineRule="auto"/>
        <w:jc w:val="both"/>
        <w:rPr>
          <w:rFonts w:ascii="Century Gothic" w:hAnsi="Century Gothic" w:cs="Arial"/>
          <w:szCs w:val="22"/>
        </w:rPr>
      </w:pPr>
      <w:r w:rsidRPr="003179ED">
        <w:rPr>
          <w:rFonts w:ascii="Century Gothic" w:hAnsi="Century Gothic" w:cs="Arial"/>
          <w:szCs w:val="22"/>
        </w:rPr>
        <w:t xml:space="preserve">It is well settled that a suit filed for recovery of amount covered under the </w:t>
      </w:r>
      <w:proofErr w:type="spellStart"/>
      <w:r w:rsidRPr="003179ED">
        <w:rPr>
          <w:rFonts w:ascii="Century Gothic" w:hAnsi="Century Gothic" w:cs="Arial"/>
          <w:szCs w:val="22"/>
        </w:rPr>
        <w:t>dishonoured</w:t>
      </w:r>
      <w:proofErr w:type="spellEnd"/>
      <w:r w:rsidRPr="003179ED">
        <w:rPr>
          <w:rFonts w:ascii="Century Gothic" w:hAnsi="Century Gothic" w:cs="Arial"/>
          <w:szCs w:val="22"/>
        </w:rPr>
        <w:t xml:space="preserve"> </w:t>
      </w:r>
      <w:proofErr w:type="spellStart"/>
      <w:r w:rsidRPr="003179ED">
        <w:rPr>
          <w:rFonts w:ascii="Century Gothic" w:hAnsi="Century Gothic" w:cs="Arial"/>
          <w:szCs w:val="22"/>
        </w:rPr>
        <w:t>cheques</w:t>
      </w:r>
      <w:proofErr w:type="spellEnd"/>
      <w:r w:rsidRPr="003179ED">
        <w:rPr>
          <w:rFonts w:ascii="Century Gothic" w:hAnsi="Century Gothic" w:cs="Arial"/>
          <w:szCs w:val="22"/>
        </w:rPr>
        <w:t xml:space="preserve"> should not be stayed under Section 10 of the Code of Civil Procedure solely on the ground that Criminal Proceedings under Section 138 of the Negotiable Instruments Act has been instituted.2A</w:t>
      </w:r>
    </w:p>
    <w:p w:rsidR="00944401" w:rsidRPr="003179ED" w:rsidRDefault="00944401" w:rsidP="003179ED">
      <w:pPr>
        <w:pStyle w:val="NormalWeb"/>
        <w:spacing w:line="276" w:lineRule="auto"/>
        <w:ind w:left="1440"/>
        <w:rPr>
          <w:rFonts w:ascii="Century Gothic" w:hAnsi="Century Gothic" w:cs="Arial"/>
          <w:szCs w:val="22"/>
        </w:rPr>
      </w:pPr>
      <w:r w:rsidRPr="003179ED">
        <w:rPr>
          <w:rFonts w:ascii="Century Gothic" w:hAnsi="Century Gothic" w:cs="Arial"/>
          <w:szCs w:val="22"/>
        </w:rPr>
        <w:t xml:space="preserve">1. </w:t>
      </w:r>
      <w:proofErr w:type="spellStart"/>
      <w:r w:rsidRPr="003179ED">
        <w:rPr>
          <w:rFonts w:ascii="Century Gothic" w:hAnsi="Century Gothic" w:cs="Arial"/>
          <w:szCs w:val="22"/>
        </w:rPr>
        <w:t>Rameshwar</w:t>
      </w:r>
      <w:proofErr w:type="spellEnd"/>
      <w:r w:rsidRPr="003179ED">
        <w:rPr>
          <w:rFonts w:ascii="Century Gothic" w:hAnsi="Century Gothic" w:cs="Arial"/>
          <w:szCs w:val="22"/>
        </w:rPr>
        <w:t xml:space="preserve"> </w:t>
      </w:r>
      <w:proofErr w:type="spellStart"/>
      <w:r w:rsidRPr="003179ED">
        <w:rPr>
          <w:rFonts w:ascii="Century Gothic" w:hAnsi="Century Gothic" w:cs="Arial"/>
          <w:szCs w:val="22"/>
        </w:rPr>
        <w:t>Lal</w:t>
      </w:r>
      <w:proofErr w:type="spellEnd"/>
      <w:r w:rsidRPr="003179ED">
        <w:rPr>
          <w:rFonts w:ascii="Century Gothic" w:hAnsi="Century Gothic" w:cs="Arial"/>
          <w:szCs w:val="22"/>
        </w:rPr>
        <w:t xml:space="preserve"> v. </w:t>
      </w:r>
      <w:proofErr w:type="spellStart"/>
      <w:r w:rsidRPr="003179ED">
        <w:rPr>
          <w:rFonts w:ascii="Century Gothic" w:hAnsi="Century Gothic" w:cs="Arial"/>
          <w:szCs w:val="22"/>
        </w:rPr>
        <w:t>Lalit</w:t>
      </w:r>
      <w:proofErr w:type="spellEnd"/>
      <w:r w:rsidRPr="003179ED">
        <w:rPr>
          <w:rFonts w:ascii="Century Gothic" w:hAnsi="Century Gothic" w:cs="Arial"/>
          <w:szCs w:val="22"/>
        </w:rPr>
        <w:t xml:space="preserve"> Kumar, 1996 (2) C.C.C. 415 (Raj</w:t>
      </w:r>
      <w:proofErr w:type="gramStart"/>
      <w:r w:rsidRPr="003179ED">
        <w:rPr>
          <w:rFonts w:ascii="Century Gothic" w:hAnsi="Century Gothic" w:cs="Arial"/>
          <w:szCs w:val="22"/>
        </w:rPr>
        <w:t>. )</w:t>
      </w:r>
      <w:proofErr w:type="gramEnd"/>
      <w:r w:rsidRPr="003179ED">
        <w:rPr>
          <w:rFonts w:ascii="Century Gothic" w:hAnsi="Century Gothic" w:cs="Arial"/>
          <w:szCs w:val="22"/>
        </w:rPr>
        <w:t>.</w:t>
      </w:r>
    </w:p>
    <w:p w:rsidR="00944401" w:rsidRPr="003179ED" w:rsidRDefault="00944401" w:rsidP="003179ED">
      <w:pPr>
        <w:pStyle w:val="NormalWeb"/>
        <w:spacing w:line="276" w:lineRule="auto"/>
        <w:ind w:left="1440"/>
        <w:rPr>
          <w:rFonts w:ascii="Century Gothic" w:hAnsi="Century Gothic" w:cs="Arial"/>
          <w:szCs w:val="22"/>
        </w:rPr>
      </w:pPr>
      <w:r w:rsidRPr="003179ED">
        <w:rPr>
          <w:rFonts w:ascii="Century Gothic" w:hAnsi="Century Gothic" w:cs="Arial"/>
          <w:szCs w:val="22"/>
        </w:rPr>
        <w:t xml:space="preserve">2. British Indian Corporation Ltd. v. M/s. </w:t>
      </w:r>
      <w:proofErr w:type="spellStart"/>
      <w:r w:rsidRPr="003179ED">
        <w:rPr>
          <w:rFonts w:ascii="Century Gothic" w:hAnsi="Century Gothic" w:cs="Arial"/>
          <w:szCs w:val="22"/>
        </w:rPr>
        <w:t>Rashttra</w:t>
      </w:r>
      <w:proofErr w:type="spellEnd"/>
      <w:r w:rsidRPr="003179ED">
        <w:rPr>
          <w:rFonts w:ascii="Century Gothic" w:hAnsi="Century Gothic" w:cs="Arial"/>
          <w:szCs w:val="22"/>
        </w:rPr>
        <w:t xml:space="preserve"> Co. Freight </w:t>
      </w:r>
      <w:proofErr w:type="spellStart"/>
      <w:r w:rsidRPr="003179ED">
        <w:rPr>
          <w:rFonts w:ascii="Century Gothic" w:hAnsi="Century Gothic" w:cs="Arial"/>
          <w:szCs w:val="22"/>
        </w:rPr>
        <w:t>Canrriers</w:t>
      </w:r>
      <w:proofErr w:type="spellEnd"/>
      <w:r w:rsidRPr="003179ED">
        <w:rPr>
          <w:rFonts w:ascii="Century Gothic" w:hAnsi="Century Gothic" w:cs="Arial"/>
          <w:szCs w:val="22"/>
        </w:rPr>
        <w:t>, 1996 (5) Supreme 285.</w:t>
      </w:r>
    </w:p>
    <w:p w:rsidR="00944401" w:rsidRPr="003179ED" w:rsidRDefault="00944401" w:rsidP="003179ED">
      <w:pPr>
        <w:pStyle w:val="NormalWeb"/>
        <w:spacing w:line="276" w:lineRule="auto"/>
        <w:ind w:left="1440"/>
        <w:rPr>
          <w:rFonts w:ascii="Century Gothic" w:hAnsi="Century Gothic" w:cs="Arial"/>
          <w:szCs w:val="22"/>
        </w:rPr>
      </w:pPr>
      <w:proofErr w:type="gramStart"/>
      <w:r w:rsidRPr="003179ED">
        <w:rPr>
          <w:rFonts w:ascii="Century Gothic" w:hAnsi="Century Gothic" w:cs="Arial"/>
          <w:szCs w:val="22"/>
        </w:rPr>
        <w:t xml:space="preserve">2A. </w:t>
      </w:r>
      <w:proofErr w:type="spellStart"/>
      <w:r w:rsidRPr="003179ED">
        <w:rPr>
          <w:rFonts w:ascii="Century Gothic" w:hAnsi="Century Gothic" w:cs="Arial"/>
          <w:szCs w:val="22"/>
        </w:rPr>
        <w:t>Nemi</w:t>
      </w:r>
      <w:proofErr w:type="spellEnd"/>
      <w:r w:rsidRPr="003179ED">
        <w:rPr>
          <w:rFonts w:ascii="Century Gothic" w:hAnsi="Century Gothic" w:cs="Arial"/>
          <w:szCs w:val="22"/>
        </w:rPr>
        <w:t xml:space="preserve"> Chand </w:t>
      </w:r>
      <w:proofErr w:type="spellStart"/>
      <w:r w:rsidRPr="003179ED">
        <w:rPr>
          <w:rFonts w:ascii="Century Gothic" w:hAnsi="Century Gothic" w:cs="Arial"/>
          <w:szCs w:val="22"/>
        </w:rPr>
        <w:t>Gangwal</w:t>
      </w:r>
      <w:proofErr w:type="spellEnd"/>
      <w:r w:rsidRPr="003179ED">
        <w:rPr>
          <w:rFonts w:ascii="Century Gothic" w:hAnsi="Century Gothic" w:cs="Arial"/>
          <w:szCs w:val="22"/>
        </w:rPr>
        <w:t xml:space="preserve"> v. Harish Kumar </w:t>
      </w:r>
      <w:proofErr w:type="spellStart"/>
      <w:r w:rsidRPr="003179ED">
        <w:rPr>
          <w:rFonts w:ascii="Century Gothic" w:hAnsi="Century Gothic" w:cs="Arial"/>
          <w:szCs w:val="22"/>
        </w:rPr>
        <w:t>Jhanwar</w:t>
      </w:r>
      <w:proofErr w:type="spellEnd"/>
      <w:r w:rsidRPr="003179ED">
        <w:rPr>
          <w:rFonts w:ascii="Century Gothic" w:hAnsi="Century Gothic" w:cs="Arial"/>
          <w:szCs w:val="22"/>
        </w:rPr>
        <w:t>, 2001 (1) CCC 54 (MP).</w:t>
      </w:r>
      <w:proofErr w:type="gramEnd"/>
    </w:p>
    <w:p w:rsidR="00944401" w:rsidRPr="003179ED" w:rsidRDefault="00944401" w:rsidP="003179ED">
      <w:pPr>
        <w:spacing w:line="276" w:lineRule="auto"/>
        <w:rPr>
          <w:rFonts w:ascii="Century Gothic" w:hAnsi="Century Gothic" w:cs="Arial"/>
          <w:szCs w:val="22"/>
        </w:rPr>
      </w:pPr>
    </w:p>
    <w:bookmarkEnd w:id="0"/>
    <w:p w:rsidR="00944401" w:rsidRPr="003179ED" w:rsidRDefault="00944401" w:rsidP="003179ED">
      <w:pPr>
        <w:spacing w:line="276" w:lineRule="auto"/>
        <w:rPr>
          <w:rFonts w:ascii="Century Gothic" w:hAnsi="Century Gothic" w:cs="Arial"/>
          <w:szCs w:val="22"/>
        </w:rPr>
      </w:pPr>
    </w:p>
    <w:sectPr w:rsidR="00944401" w:rsidRPr="00317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F52"/>
    <w:rsid w:val="002E450C"/>
    <w:rsid w:val="003179ED"/>
    <w:rsid w:val="00394F52"/>
    <w:rsid w:val="007F7CBF"/>
    <w:rsid w:val="00927DA6"/>
    <w:rsid w:val="00944401"/>
    <w:rsid w:val="00A5180D"/>
    <w:rsid w:val="00C326C6"/>
    <w:rsid w:val="00E2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401"/>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4440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401"/>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444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PPLICATION%20UNDER%20SECTION%2010%20CODE%20OF%20CIVIL%20PROCED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UNDER SECTION 10 CODE OF CIVIL PROCEDURE</Template>
  <TotalTime>1</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2024-06-15T12:12:00Z</dcterms:created>
  <dcterms:modified xsi:type="dcterms:W3CDTF">2024-06-15T12:12:00Z</dcterms:modified>
</cp:coreProperties>
</file>