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57" w:rsidRPr="007B3F68" w:rsidRDefault="00696F57" w:rsidP="007B3F68">
      <w:pPr>
        <w:pStyle w:val="NormalWeb"/>
        <w:spacing w:line="276" w:lineRule="auto"/>
        <w:jc w:val="center"/>
        <w:rPr>
          <w:rFonts w:ascii="Century Gothic" w:hAnsi="Century Gothic" w:cs="Arial"/>
          <w:b/>
          <w:bCs/>
          <w:szCs w:val="22"/>
        </w:rPr>
      </w:pPr>
      <w:bookmarkStart w:id="0" w:name="_GoBack"/>
      <w:r w:rsidRPr="007B3F68">
        <w:rPr>
          <w:rFonts w:ascii="Century Gothic" w:hAnsi="Century Gothic" w:cs="Arial"/>
          <w:b/>
          <w:bCs/>
          <w:szCs w:val="22"/>
        </w:rPr>
        <w:t>APPLICATION UNDER SECTION 11 OF THE ARBITRATION AND CONCILIATION ACT, 1996</w:t>
      </w:r>
    </w:p>
    <w:p w:rsidR="00696F57" w:rsidRPr="007B3F68" w:rsidRDefault="00696F57" w:rsidP="007B3F68">
      <w:pPr>
        <w:pStyle w:val="NormalWeb"/>
        <w:spacing w:line="276" w:lineRule="auto"/>
        <w:jc w:val="both"/>
        <w:rPr>
          <w:rFonts w:ascii="Century Gothic" w:hAnsi="Century Gothic" w:cs="Arial"/>
          <w:szCs w:val="22"/>
        </w:rPr>
      </w:pPr>
      <w:proofErr w:type="gramStart"/>
      <w:r w:rsidRPr="007B3F68">
        <w:rPr>
          <w:rFonts w:ascii="Century Gothic" w:hAnsi="Century Gothic" w:cs="Arial"/>
          <w:szCs w:val="22"/>
        </w:rPr>
        <w:t>IN THE HIGH COURT OF..............</w:t>
      </w:r>
      <w:proofErr w:type="gramEnd"/>
    </w:p>
    <w:p w:rsidR="00696F57" w:rsidRPr="007B3F68" w:rsidRDefault="00696F57" w:rsidP="007B3F68">
      <w:pPr>
        <w:pStyle w:val="NormalWeb"/>
        <w:spacing w:line="276" w:lineRule="auto"/>
        <w:jc w:val="center"/>
        <w:rPr>
          <w:rFonts w:ascii="Century Gothic" w:hAnsi="Century Gothic" w:cs="Arial"/>
          <w:szCs w:val="22"/>
        </w:rPr>
      </w:pPr>
      <w:r w:rsidRPr="007B3F68">
        <w:rPr>
          <w:rFonts w:ascii="Century Gothic" w:hAnsi="Century Gothic" w:cs="Arial"/>
          <w:szCs w:val="22"/>
        </w:rPr>
        <w:t>In the Matter of Arbitration and Conciliation Act, 1996</w:t>
      </w:r>
    </w:p>
    <w:p w:rsidR="00696F57" w:rsidRPr="007B3F68" w:rsidRDefault="00696F57" w:rsidP="007B3F68">
      <w:pPr>
        <w:pStyle w:val="NormalWeb"/>
        <w:spacing w:line="276" w:lineRule="auto"/>
        <w:jc w:val="center"/>
        <w:rPr>
          <w:rFonts w:ascii="Century Gothic" w:hAnsi="Century Gothic" w:cs="Arial"/>
          <w:szCs w:val="22"/>
        </w:rPr>
      </w:pPr>
      <w:r w:rsidRPr="007B3F68">
        <w:rPr>
          <w:rFonts w:ascii="Century Gothic" w:hAnsi="Century Gothic" w:cs="Arial"/>
          <w:szCs w:val="22"/>
        </w:rPr>
        <w:t xml:space="preserve">And </w:t>
      </w:r>
    </w:p>
    <w:p w:rsidR="00696F57" w:rsidRPr="007B3F68" w:rsidRDefault="00696F57" w:rsidP="007B3F68">
      <w:pPr>
        <w:pStyle w:val="NormalWeb"/>
        <w:spacing w:line="276" w:lineRule="auto"/>
        <w:jc w:val="center"/>
        <w:rPr>
          <w:rFonts w:ascii="Century Gothic" w:hAnsi="Century Gothic" w:cs="Arial"/>
          <w:szCs w:val="22"/>
        </w:rPr>
      </w:pPr>
      <w:r w:rsidRPr="007B3F68">
        <w:rPr>
          <w:rFonts w:ascii="Century Gothic" w:hAnsi="Century Gothic" w:cs="Arial"/>
          <w:szCs w:val="22"/>
        </w:rPr>
        <w:t>In the Matter of Arbitration Agreement dated..............</w:t>
      </w:r>
    </w:p>
    <w:p w:rsidR="00696F57" w:rsidRPr="007B3F68" w:rsidRDefault="00696F57" w:rsidP="007B3F68">
      <w:pPr>
        <w:pStyle w:val="NormalWeb"/>
        <w:spacing w:line="276" w:lineRule="auto"/>
        <w:jc w:val="center"/>
        <w:rPr>
          <w:rFonts w:ascii="Century Gothic" w:hAnsi="Century Gothic" w:cs="Arial"/>
          <w:szCs w:val="22"/>
        </w:rPr>
      </w:pPr>
      <w:r w:rsidRPr="007B3F68">
        <w:rPr>
          <w:rFonts w:ascii="Century Gothic" w:hAnsi="Century Gothic" w:cs="Arial"/>
          <w:szCs w:val="22"/>
        </w:rPr>
        <w:t xml:space="preserve">Between </w:t>
      </w:r>
    </w:p>
    <w:p w:rsidR="00696F57" w:rsidRPr="007B3F68" w:rsidRDefault="00696F57" w:rsidP="007B3F68">
      <w:pPr>
        <w:pStyle w:val="NormalWeb"/>
        <w:spacing w:line="276" w:lineRule="auto"/>
        <w:jc w:val="center"/>
        <w:rPr>
          <w:rFonts w:ascii="Century Gothic" w:hAnsi="Century Gothic" w:cs="Arial"/>
          <w:szCs w:val="22"/>
        </w:rPr>
      </w:pPr>
      <w:r w:rsidRPr="007B3F68">
        <w:rPr>
          <w:rFonts w:ascii="Century Gothic" w:hAnsi="Century Gothic" w:cs="Arial"/>
          <w:szCs w:val="22"/>
        </w:rPr>
        <w:t>AB (Name, description and place of residence).................. Petitioner</w:t>
      </w:r>
    </w:p>
    <w:p w:rsidR="00696F57" w:rsidRPr="007B3F68" w:rsidRDefault="00696F57" w:rsidP="007B3F68">
      <w:pPr>
        <w:pStyle w:val="NormalWeb"/>
        <w:spacing w:line="276" w:lineRule="auto"/>
        <w:jc w:val="center"/>
        <w:rPr>
          <w:rFonts w:ascii="Century Gothic" w:hAnsi="Century Gothic" w:cs="Arial"/>
          <w:szCs w:val="22"/>
        </w:rPr>
      </w:pPr>
      <w:r w:rsidRPr="007B3F68">
        <w:rPr>
          <w:rFonts w:ascii="Century Gothic" w:hAnsi="Century Gothic" w:cs="Arial"/>
          <w:szCs w:val="22"/>
        </w:rPr>
        <w:t xml:space="preserve">And </w:t>
      </w:r>
    </w:p>
    <w:p w:rsidR="00696F57" w:rsidRPr="007B3F68" w:rsidRDefault="00696F57" w:rsidP="007B3F68">
      <w:pPr>
        <w:pStyle w:val="NormalWeb"/>
        <w:spacing w:line="276" w:lineRule="auto"/>
        <w:jc w:val="center"/>
        <w:rPr>
          <w:rFonts w:ascii="Century Gothic" w:hAnsi="Century Gothic" w:cs="Arial"/>
          <w:szCs w:val="22"/>
        </w:rPr>
      </w:pPr>
      <w:r w:rsidRPr="007B3F68">
        <w:rPr>
          <w:rFonts w:ascii="Century Gothic" w:hAnsi="Century Gothic" w:cs="Arial"/>
          <w:szCs w:val="22"/>
        </w:rPr>
        <w:t>CD (Name, description and place of residence)................ Respondent</w:t>
      </w:r>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 xml:space="preserve">The petitioner AB above named most respectfully </w:t>
      </w:r>
      <w:proofErr w:type="spellStart"/>
      <w:r w:rsidRPr="007B3F68">
        <w:rPr>
          <w:rFonts w:ascii="Century Gothic" w:hAnsi="Century Gothic" w:cs="Arial"/>
          <w:szCs w:val="22"/>
        </w:rPr>
        <w:t>sheweth</w:t>
      </w:r>
      <w:proofErr w:type="spellEnd"/>
      <w:r w:rsidRPr="007B3F68">
        <w:rPr>
          <w:rFonts w:ascii="Century Gothic" w:hAnsi="Century Gothic" w:cs="Arial"/>
          <w:szCs w:val="22"/>
        </w:rPr>
        <w:t>: —</w:t>
      </w:r>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 xml:space="preserve">1. That an agreement dated............... was entered between the petitioner and the respondent and it was agreed that in case any difference arising in respect of the contract entered, the dispute between the parties shall be </w:t>
      </w:r>
      <w:proofErr w:type="spellStart"/>
      <w:r w:rsidRPr="007B3F68">
        <w:rPr>
          <w:rFonts w:ascii="Century Gothic" w:hAnsi="Century Gothic" w:cs="Arial"/>
          <w:szCs w:val="22"/>
        </w:rPr>
        <w:t>referable</w:t>
      </w:r>
      <w:proofErr w:type="spellEnd"/>
      <w:r w:rsidRPr="007B3F68">
        <w:rPr>
          <w:rFonts w:ascii="Century Gothic" w:hAnsi="Century Gothic" w:cs="Arial"/>
          <w:szCs w:val="22"/>
        </w:rPr>
        <w:t xml:space="preserve"> to the arbitration.</w:t>
      </w:r>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2 That a copy of the said arbitration agreement dated............ is annexed hereto and marked as Annexure................</w:t>
      </w:r>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3. That despite the work having been completed within time the Respondent did not make the payment.</w:t>
      </w:r>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 xml:space="preserve">4. That the petitioner requested Respondent to appoint the arbitrator but the Respondent had not appointed any arbitrator and thus a dispute arose for the pay </w:t>
      </w:r>
      <w:proofErr w:type="spellStart"/>
      <w:r w:rsidRPr="007B3F68">
        <w:rPr>
          <w:rFonts w:ascii="Century Gothic" w:hAnsi="Century Gothic" w:cs="Arial"/>
          <w:szCs w:val="22"/>
        </w:rPr>
        <w:t>ment</w:t>
      </w:r>
      <w:proofErr w:type="spellEnd"/>
      <w:r w:rsidRPr="007B3F68">
        <w:rPr>
          <w:rFonts w:ascii="Century Gothic" w:hAnsi="Century Gothic" w:cs="Arial"/>
          <w:szCs w:val="22"/>
        </w:rPr>
        <w:t xml:space="preserve"> of </w:t>
      </w:r>
      <w:proofErr w:type="spellStart"/>
      <w:r w:rsidRPr="007B3F68">
        <w:rPr>
          <w:rFonts w:ascii="Century Gothic" w:hAnsi="Century Gothic" w:cs="Arial"/>
          <w:szCs w:val="22"/>
        </w:rPr>
        <w:t>Rs</w:t>
      </w:r>
      <w:proofErr w:type="spellEnd"/>
      <w:r w:rsidRPr="007B3F68">
        <w:rPr>
          <w:rFonts w:ascii="Century Gothic" w:hAnsi="Century Gothic" w:cs="Arial"/>
          <w:szCs w:val="22"/>
        </w:rPr>
        <w:t>.................</w:t>
      </w:r>
    </w:p>
    <w:p w:rsidR="00696F57" w:rsidRPr="007B3F68" w:rsidRDefault="00696F57" w:rsidP="007B3F68">
      <w:pPr>
        <w:pStyle w:val="NormalWeb"/>
        <w:spacing w:line="276" w:lineRule="auto"/>
        <w:jc w:val="center"/>
        <w:rPr>
          <w:rFonts w:ascii="Century Gothic" w:hAnsi="Century Gothic" w:cs="Arial"/>
          <w:b/>
          <w:bCs/>
          <w:szCs w:val="22"/>
        </w:rPr>
      </w:pPr>
      <w:r w:rsidRPr="007B3F68">
        <w:rPr>
          <w:rFonts w:ascii="Century Gothic" w:hAnsi="Century Gothic" w:cs="Arial"/>
          <w:b/>
          <w:bCs/>
          <w:szCs w:val="22"/>
        </w:rPr>
        <w:t>PRAYER</w:t>
      </w:r>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It is therefore most respectfully prayed that an independent arbitrator may be appointed by the Chief Justice.</w:t>
      </w:r>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lastRenderedPageBreak/>
        <w:t>It is prayed accordingly.</w:t>
      </w:r>
    </w:p>
    <w:p w:rsidR="00696F57" w:rsidRPr="007B3F68" w:rsidRDefault="00696F57" w:rsidP="007B3F68">
      <w:pPr>
        <w:pStyle w:val="NormalWeb"/>
        <w:spacing w:line="276" w:lineRule="auto"/>
        <w:jc w:val="right"/>
        <w:rPr>
          <w:rFonts w:ascii="Century Gothic" w:hAnsi="Century Gothic" w:cs="Arial"/>
          <w:szCs w:val="22"/>
        </w:rPr>
      </w:pPr>
      <w:r w:rsidRPr="007B3F68">
        <w:rPr>
          <w:rFonts w:ascii="Century Gothic" w:hAnsi="Century Gothic" w:cs="Arial"/>
          <w:szCs w:val="22"/>
        </w:rPr>
        <w:t xml:space="preserve">Petitioner </w:t>
      </w:r>
    </w:p>
    <w:p w:rsidR="00696F57" w:rsidRPr="007B3F68" w:rsidRDefault="00696F57" w:rsidP="007B3F68">
      <w:pPr>
        <w:pStyle w:val="NormalWeb"/>
        <w:spacing w:line="276" w:lineRule="auto"/>
        <w:ind w:left="6480" w:firstLine="720"/>
        <w:rPr>
          <w:rFonts w:ascii="Century Gothic" w:hAnsi="Century Gothic" w:cs="Arial"/>
          <w:szCs w:val="22"/>
        </w:rPr>
      </w:pPr>
      <w:r w:rsidRPr="007B3F68">
        <w:rPr>
          <w:rFonts w:ascii="Century Gothic" w:hAnsi="Century Gothic" w:cs="Arial"/>
          <w:szCs w:val="22"/>
        </w:rPr>
        <w:t>Through</w:t>
      </w:r>
    </w:p>
    <w:p w:rsidR="00696F57" w:rsidRPr="007B3F68" w:rsidRDefault="00696F57" w:rsidP="007B3F68">
      <w:pPr>
        <w:pStyle w:val="NormalWeb"/>
        <w:spacing w:line="276" w:lineRule="auto"/>
        <w:jc w:val="right"/>
        <w:rPr>
          <w:rFonts w:ascii="Century Gothic" w:hAnsi="Century Gothic" w:cs="Arial"/>
          <w:szCs w:val="22"/>
        </w:rPr>
      </w:pPr>
      <w:r w:rsidRPr="007B3F68">
        <w:rPr>
          <w:rFonts w:ascii="Century Gothic" w:hAnsi="Century Gothic" w:cs="Arial"/>
          <w:szCs w:val="22"/>
        </w:rPr>
        <w:t xml:space="preserve">Advocate </w:t>
      </w:r>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Place</w:t>
      </w:r>
      <w:proofErr w:type="gramStart"/>
      <w:r w:rsidRPr="007B3F68">
        <w:rPr>
          <w:rFonts w:ascii="Century Gothic" w:hAnsi="Century Gothic" w:cs="Arial"/>
          <w:szCs w:val="22"/>
        </w:rPr>
        <w:t>:...................</w:t>
      </w:r>
      <w:proofErr w:type="gramEnd"/>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Dated</w:t>
      </w:r>
      <w:proofErr w:type="gramStart"/>
      <w:r w:rsidRPr="007B3F68">
        <w:rPr>
          <w:rFonts w:ascii="Century Gothic" w:hAnsi="Century Gothic" w:cs="Arial"/>
          <w:szCs w:val="22"/>
        </w:rPr>
        <w:t>:..................</w:t>
      </w:r>
      <w:proofErr w:type="gramEnd"/>
    </w:p>
    <w:p w:rsidR="00696F57" w:rsidRPr="007B3F68" w:rsidRDefault="00696F57" w:rsidP="007B3F68">
      <w:pPr>
        <w:pStyle w:val="NormalWeb"/>
        <w:spacing w:line="276" w:lineRule="auto"/>
        <w:jc w:val="both"/>
        <w:rPr>
          <w:rFonts w:ascii="Century Gothic" w:hAnsi="Century Gothic" w:cs="Arial"/>
          <w:szCs w:val="22"/>
        </w:rPr>
      </w:pPr>
      <w:proofErr w:type="gramStart"/>
      <w:r w:rsidRPr="007B3F68">
        <w:rPr>
          <w:rFonts w:ascii="Century Gothic" w:hAnsi="Century Gothic" w:cs="Arial"/>
          <w:szCs w:val="22"/>
        </w:rPr>
        <w:t>IN THE HIGH COURT OF........................</w:t>
      </w:r>
      <w:proofErr w:type="gramEnd"/>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Application No.................... /200</w:t>
      </w:r>
    </w:p>
    <w:p w:rsidR="00696F57" w:rsidRPr="007B3F68" w:rsidRDefault="00696F57" w:rsidP="007B3F68">
      <w:pPr>
        <w:pStyle w:val="NormalWeb"/>
        <w:spacing w:line="276" w:lineRule="auto"/>
        <w:jc w:val="both"/>
        <w:rPr>
          <w:rFonts w:ascii="Century Gothic" w:hAnsi="Century Gothic" w:cs="Arial"/>
          <w:b/>
          <w:bCs/>
          <w:szCs w:val="22"/>
        </w:rPr>
      </w:pPr>
      <w:r w:rsidRPr="007B3F68">
        <w:rPr>
          <w:rFonts w:ascii="Century Gothic" w:hAnsi="Century Gothic" w:cs="Arial"/>
          <w:b/>
          <w:bCs/>
          <w:szCs w:val="22"/>
        </w:rPr>
        <w:t>In the Matter of</w:t>
      </w:r>
    </w:p>
    <w:p w:rsidR="00696F57" w:rsidRPr="007B3F68" w:rsidRDefault="00696F57" w:rsidP="007B3F68">
      <w:pPr>
        <w:pStyle w:val="NormalWeb"/>
        <w:spacing w:line="276" w:lineRule="auto"/>
        <w:jc w:val="center"/>
        <w:rPr>
          <w:rFonts w:ascii="Century Gothic" w:hAnsi="Century Gothic" w:cs="Arial"/>
          <w:szCs w:val="22"/>
        </w:rPr>
      </w:pPr>
      <w:r w:rsidRPr="007B3F68">
        <w:rPr>
          <w:rFonts w:ascii="Century Gothic" w:hAnsi="Century Gothic" w:cs="Arial"/>
          <w:szCs w:val="22"/>
        </w:rPr>
        <w:t>AB............................................. Petitioner</w:t>
      </w:r>
    </w:p>
    <w:p w:rsidR="00696F57" w:rsidRPr="007B3F68" w:rsidRDefault="00696F57" w:rsidP="007B3F68">
      <w:pPr>
        <w:pStyle w:val="NormalWeb"/>
        <w:spacing w:line="276" w:lineRule="auto"/>
        <w:jc w:val="center"/>
        <w:rPr>
          <w:rFonts w:ascii="Century Gothic" w:hAnsi="Century Gothic" w:cs="Arial"/>
          <w:i/>
          <w:iCs/>
          <w:szCs w:val="22"/>
        </w:rPr>
      </w:pPr>
      <w:proofErr w:type="gramStart"/>
      <w:r w:rsidRPr="007B3F68">
        <w:rPr>
          <w:rFonts w:ascii="Century Gothic" w:hAnsi="Century Gothic" w:cs="Arial"/>
          <w:i/>
          <w:iCs/>
          <w:szCs w:val="22"/>
        </w:rPr>
        <w:t>versus</w:t>
      </w:r>
      <w:proofErr w:type="gramEnd"/>
      <w:r w:rsidRPr="007B3F68">
        <w:rPr>
          <w:rFonts w:ascii="Century Gothic" w:hAnsi="Century Gothic" w:cs="Arial"/>
          <w:i/>
          <w:iCs/>
          <w:szCs w:val="22"/>
        </w:rPr>
        <w:t xml:space="preserve"> </w:t>
      </w:r>
    </w:p>
    <w:p w:rsidR="00696F57" w:rsidRPr="007B3F68" w:rsidRDefault="00696F57" w:rsidP="007B3F68">
      <w:pPr>
        <w:pStyle w:val="NormalWeb"/>
        <w:spacing w:line="276" w:lineRule="auto"/>
        <w:jc w:val="center"/>
        <w:rPr>
          <w:rFonts w:ascii="Century Gothic" w:hAnsi="Century Gothic" w:cs="Arial"/>
          <w:szCs w:val="22"/>
        </w:rPr>
      </w:pPr>
      <w:r w:rsidRPr="007B3F68">
        <w:rPr>
          <w:rFonts w:ascii="Century Gothic" w:hAnsi="Century Gothic" w:cs="Arial"/>
          <w:szCs w:val="22"/>
        </w:rPr>
        <w:t>CD............................................. Respondent</w:t>
      </w:r>
    </w:p>
    <w:p w:rsidR="00696F57" w:rsidRPr="007B3F68" w:rsidRDefault="00696F57" w:rsidP="007B3F68">
      <w:pPr>
        <w:pStyle w:val="NormalWeb"/>
        <w:spacing w:line="276" w:lineRule="auto"/>
        <w:jc w:val="center"/>
        <w:rPr>
          <w:rFonts w:ascii="Century Gothic" w:hAnsi="Century Gothic" w:cs="Arial"/>
          <w:b/>
          <w:bCs/>
          <w:szCs w:val="22"/>
        </w:rPr>
      </w:pPr>
      <w:r w:rsidRPr="007B3F68">
        <w:rPr>
          <w:rFonts w:ascii="Century Gothic" w:hAnsi="Century Gothic" w:cs="Arial"/>
          <w:b/>
          <w:bCs/>
          <w:szCs w:val="22"/>
        </w:rPr>
        <w:t>AFFIDAVIT</w:t>
      </w:r>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 xml:space="preserve">I................................................................................ </w:t>
      </w:r>
      <w:proofErr w:type="gramStart"/>
      <w:r w:rsidRPr="007B3F68">
        <w:rPr>
          <w:rFonts w:ascii="Century Gothic" w:hAnsi="Century Gothic" w:cs="Arial"/>
          <w:szCs w:val="22"/>
        </w:rPr>
        <w:t>resident</w:t>
      </w:r>
      <w:proofErr w:type="gramEnd"/>
      <w:r w:rsidRPr="007B3F68">
        <w:rPr>
          <w:rFonts w:ascii="Century Gothic" w:hAnsi="Century Gothic" w:cs="Arial"/>
          <w:szCs w:val="22"/>
        </w:rPr>
        <w:t xml:space="preserve"> of................ ............................................................ do hereby solemnly affirm and declare as under:—</w:t>
      </w:r>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1 That I am the.................................... in this case and hence competent to swear this affidavit.</w:t>
      </w:r>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2 That the contents of the accompanying application are true and correct.</w:t>
      </w:r>
    </w:p>
    <w:p w:rsidR="00696F57" w:rsidRPr="007B3F68" w:rsidRDefault="00696F57" w:rsidP="007B3F68">
      <w:pPr>
        <w:pStyle w:val="NormalWeb"/>
        <w:spacing w:line="276" w:lineRule="auto"/>
        <w:jc w:val="right"/>
        <w:rPr>
          <w:rFonts w:ascii="Century Gothic" w:hAnsi="Century Gothic" w:cs="Arial"/>
          <w:szCs w:val="22"/>
        </w:rPr>
      </w:pPr>
      <w:r w:rsidRPr="007B3F68">
        <w:rPr>
          <w:rFonts w:ascii="Century Gothic" w:hAnsi="Century Gothic" w:cs="Arial"/>
          <w:szCs w:val="22"/>
        </w:rPr>
        <w:t>DEPONENT</w:t>
      </w:r>
    </w:p>
    <w:p w:rsidR="00696F57" w:rsidRPr="007B3F68" w:rsidRDefault="00696F57" w:rsidP="007B3F68">
      <w:pPr>
        <w:pStyle w:val="NormalWeb"/>
        <w:spacing w:line="276" w:lineRule="auto"/>
        <w:jc w:val="center"/>
        <w:rPr>
          <w:rFonts w:ascii="Century Gothic" w:hAnsi="Century Gothic" w:cs="Arial"/>
          <w:b/>
          <w:bCs/>
          <w:szCs w:val="22"/>
        </w:rPr>
      </w:pPr>
      <w:r w:rsidRPr="007B3F68">
        <w:rPr>
          <w:rFonts w:ascii="Century Gothic" w:hAnsi="Century Gothic" w:cs="Arial"/>
          <w:b/>
          <w:bCs/>
          <w:szCs w:val="22"/>
        </w:rPr>
        <w:t>VERIFICATION</w:t>
      </w:r>
    </w:p>
    <w:p w:rsidR="00696F57" w:rsidRPr="007B3F68" w:rsidRDefault="00696F57" w:rsidP="007B3F68">
      <w:pPr>
        <w:pStyle w:val="NormalWeb"/>
        <w:spacing w:line="276" w:lineRule="auto"/>
        <w:jc w:val="both"/>
        <w:rPr>
          <w:rFonts w:ascii="Century Gothic" w:hAnsi="Century Gothic" w:cs="Arial"/>
          <w:szCs w:val="22"/>
        </w:rPr>
      </w:pPr>
      <w:proofErr w:type="gramStart"/>
      <w:r w:rsidRPr="007B3F68">
        <w:rPr>
          <w:rFonts w:ascii="Century Gothic" w:hAnsi="Century Gothic" w:cs="Arial"/>
          <w:szCs w:val="22"/>
        </w:rPr>
        <w:lastRenderedPageBreak/>
        <w:t>Verified at............................ on this........................... day of..............</w:t>
      </w:r>
      <w:proofErr w:type="gramEnd"/>
      <w:r w:rsidRPr="007B3F68">
        <w:rPr>
          <w:rFonts w:ascii="Century Gothic" w:hAnsi="Century Gothic" w:cs="Arial"/>
          <w:szCs w:val="22"/>
        </w:rPr>
        <w:t xml:space="preserve"> ...................................... </w:t>
      </w:r>
      <w:proofErr w:type="gramStart"/>
      <w:r w:rsidRPr="007B3F68">
        <w:rPr>
          <w:rFonts w:ascii="Century Gothic" w:hAnsi="Century Gothic" w:cs="Arial"/>
          <w:szCs w:val="22"/>
        </w:rPr>
        <w:t>that</w:t>
      </w:r>
      <w:proofErr w:type="gramEnd"/>
      <w:r w:rsidRPr="007B3F68">
        <w:rPr>
          <w:rFonts w:ascii="Century Gothic" w:hAnsi="Century Gothic" w:cs="Arial"/>
          <w:szCs w:val="22"/>
        </w:rPr>
        <w:t xml:space="preserve"> the contents of the above affidavit are true and correct to my knowledge.</w:t>
      </w:r>
    </w:p>
    <w:p w:rsidR="00696F57" w:rsidRPr="007B3F68" w:rsidRDefault="00696F57" w:rsidP="007B3F68">
      <w:pPr>
        <w:pStyle w:val="NormalWeb"/>
        <w:spacing w:line="276" w:lineRule="auto"/>
        <w:jc w:val="right"/>
        <w:rPr>
          <w:rFonts w:ascii="Century Gothic" w:hAnsi="Century Gothic" w:cs="Arial"/>
          <w:szCs w:val="22"/>
        </w:rPr>
      </w:pPr>
      <w:r w:rsidRPr="007B3F68">
        <w:rPr>
          <w:rFonts w:ascii="Century Gothic" w:hAnsi="Century Gothic" w:cs="Arial"/>
          <w:szCs w:val="22"/>
        </w:rPr>
        <w:t>DEPONENT</w:t>
      </w:r>
    </w:p>
    <w:p w:rsidR="00696F57" w:rsidRPr="007B3F68" w:rsidRDefault="00696F57" w:rsidP="007B3F68">
      <w:pPr>
        <w:pStyle w:val="NormalWeb"/>
        <w:spacing w:line="276" w:lineRule="auto"/>
        <w:jc w:val="center"/>
        <w:rPr>
          <w:rFonts w:ascii="Century Gothic" w:hAnsi="Century Gothic" w:cs="Arial"/>
          <w:b/>
          <w:bCs/>
          <w:szCs w:val="22"/>
        </w:rPr>
      </w:pPr>
      <w:r w:rsidRPr="007B3F68">
        <w:rPr>
          <w:rFonts w:ascii="Century Gothic" w:hAnsi="Century Gothic" w:cs="Arial"/>
          <w:b/>
          <w:bCs/>
          <w:szCs w:val="22"/>
        </w:rPr>
        <w:t>CASE LAW</w:t>
      </w:r>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1 Under the 1996 Act appointment of arbitrator/s is made as per the provision of Section 11 of the Act which does not require the court to pass a judicial order appointing arbitrator/s.1</w:t>
      </w:r>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2. Under Section 11 of Arbitration and Conciliation Act either of parties to agreement can be vested with power to appoint arbitrator and Chief Justice is vested with powers of appointment of sole arbitrator only when parties fails to agree on the arbitrator as per agreement.2</w:t>
      </w:r>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3. The petition for appointment of arbitrator filed in the year 1999, that is, after expiry of period of three years is barred by limitation.3</w:t>
      </w:r>
    </w:p>
    <w:p w:rsidR="00696F57" w:rsidRPr="007B3F68" w:rsidRDefault="00696F57" w:rsidP="007B3F68">
      <w:pPr>
        <w:pStyle w:val="NormalWeb"/>
        <w:spacing w:line="276" w:lineRule="auto"/>
        <w:jc w:val="both"/>
        <w:rPr>
          <w:rFonts w:ascii="Century Gothic" w:hAnsi="Century Gothic" w:cs="Arial"/>
          <w:szCs w:val="22"/>
        </w:rPr>
      </w:pPr>
      <w:r w:rsidRPr="007B3F68">
        <w:rPr>
          <w:rFonts w:ascii="Century Gothic" w:hAnsi="Century Gothic" w:cs="Arial"/>
          <w:szCs w:val="22"/>
        </w:rPr>
        <w:t>4. Contentions raised to oppose a petition seeking appointment of arbitrator that full and final payment had been made or that petition was beyond limitation can be raised before arbitrator as well and order appointing arbitrator could not be considered bad in law.4</w:t>
      </w:r>
    </w:p>
    <w:p w:rsidR="00696F57" w:rsidRPr="007B3F68" w:rsidRDefault="00696F57" w:rsidP="007B3F68">
      <w:pPr>
        <w:pStyle w:val="NormalWeb"/>
        <w:spacing w:line="276" w:lineRule="auto"/>
        <w:ind w:left="1440"/>
        <w:rPr>
          <w:rFonts w:ascii="Century Gothic" w:hAnsi="Century Gothic" w:cs="Arial"/>
          <w:szCs w:val="22"/>
        </w:rPr>
      </w:pPr>
      <w:r w:rsidRPr="007B3F68">
        <w:rPr>
          <w:rFonts w:ascii="Century Gothic" w:hAnsi="Century Gothic" w:cs="Arial"/>
          <w:szCs w:val="22"/>
        </w:rPr>
        <w:t xml:space="preserve">1. M/s. </w:t>
      </w:r>
      <w:proofErr w:type="spellStart"/>
      <w:r w:rsidRPr="007B3F68">
        <w:rPr>
          <w:rFonts w:ascii="Century Gothic" w:hAnsi="Century Gothic" w:cs="Arial"/>
          <w:szCs w:val="22"/>
        </w:rPr>
        <w:t>Sundaram</w:t>
      </w:r>
      <w:proofErr w:type="spellEnd"/>
      <w:r w:rsidRPr="007B3F68">
        <w:rPr>
          <w:rFonts w:ascii="Century Gothic" w:hAnsi="Century Gothic" w:cs="Arial"/>
          <w:szCs w:val="22"/>
        </w:rPr>
        <w:t xml:space="preserve"> Finance Ltd. v. M/s. NEPC India Ltd., AIR 1999 SC 565.</w:t>
      </w:r>
    </w:p>
    <w:p w:rsidR="00696F57" w:rsidRPr="007B3F68" w:rsidRDefault="00696F57" w:rsidP="007B3F68">
      <w:pPr>
        <w:pStyle w:val="NormalWeb"/>
        <w:spacing w:line="276" w:lineRule="auto"/>
        <w:ind w:left="1440"/>
        <w:rPr>
          <w:rFonts w:ascii="Century Gothic" w:hAnsi="Century Gothic" w:cs="Arial"/>
          <w:szCs w:val="22"/>
        </w:rPr>
      </w:pPr>
      <w:r w:rsidRPr="007B3F68">
        <w:rPr>
          <w:rFonts w:ascii="Century Gothic" w:hAnsi="Century Gothic" w:cs="Arial"/>
          <w:szCs w:val="22"/>
        </w:rPr>
        <w:t xml:space="preserve">2. </w:t>
      </w:r>
      <w:proofErr w:type="spellStart"/>
      <w:r w:rsidRPr="007B3F68">
        <w:rPr>
          <w:rFonts w:ascii="Century Gothic" w:hAnsi="Century Gothic" w:cs="Arial"/>
          <w:szCs w:val="22"/>
        </w:rPr>
        <w:t>Ranjul</w:t>
      </w:r>
      <w:proofErr w:type="spellEnd"/>
      <w:r w:rsidRPr="007B3F68">
        <w:rPr>
          <w:rFonts w:ascii="Century Gothic" w:hAnsi="Century Gothic" w:cs="Arial"/>
          <w:szCs w:val="22"/>
        </w:rPr>
        <w:t xml:space="preserve"> </w:t>
      </w:r>
      <w:proofErr w:type="spellStart"/>
      <w:r w:rsidRPr="007B3F68">
        <w:rPr>
          <w:rFonts w:ascii="Century Gothic" w:hAnsi="Century Gothic" w:cs="Arial"/>
          <w:szCs w:val="22"/>
        </w:rPr>
        <w:t>Baruah</w:t>
      </w:r>
      <w:proofErr w:type="spellEnd"/>
      <w:r w:rsidRPr="007B3F68">
        <w:rPr>
          <w:rFonts w:ascii="Century Gothic" w:hAnsi="Century Gothic" w:cs="Arial"/>
          <w:szCs w:val="22"/>
        </w:rPr>
        <w:t xml:space="preserve"> v. </w:t>
      </w:r>
      <w:proofErr w:type="spellStart"/>
      <w:r w:rsidRPr="007B3F68">
        <w:rPr>
          <w:rFonts w:ascii="Century Gothic" w:hAnsi="Century Gothic" w:cs="Arial"/>
          <w:szCs w:val="22"/>
        </w:rPr>
        <w:t>Numaiigarh</w:t>
      </w:r>
      <w:proofErr w:type="spellEnd"/>
      <w:r w:rsidRPr="007B3F68">
        <w:rPr>
          <w:rFonts w:ascii="Century Gothic" w:hAnsi="Century Gothic" w:cs="Arial"/>
          <w:szCs w:val="22"/>
        </w:rPr>
        <w:t xml:space="preserve"> Refinery Ltd., 2002(1) CCC 211 (</w:t>
      </w:r>
      <w:proofErr w:type="spellStart"/>
      <w:r w:rsidRPr="007B3F68">
        <w:rPr>
          <w:rFonts w:ascii="Century Gothic" w:hAnsi="Century Gothic" w:cs="Arial"/>
          <w:szCs w:val="22"/>
        </w:rPr>
        <w:t>Gau</w:t>
      </w:r>
      <w:proofErr w:type="spellEnd"/>
      <w:proofErr w:type="gramStart"/>
      <w:r w:rsidRPr="007B3F68">
        <w:rPr>
          <w:rFonts w:ascii="Century Gothic" w:hAnsi="Century Gothic" w:cs="Arial"/>
          <w:szCs w:val="22"/>
        </w:rPr>
        <w:t>. )</w:t>
      </w:r>
      <w:proofErr w:type="gramEnd"/>
      <w:r w:rsidRPr="007B3F68">
        <w:rPr>
          <w:rFonts w:ascii="Century Gothic" w:hAnsi="Century Gothic" w:cs="Arial"/>
          <w:szCs w:val="22"/>
        </w:rPr>
        <w:t>.</w:t>
      </w:r>
    </w:p>
    <w:p w:rsidR="00696F57" w:rsidRPr="007B3F68" w:rsidRDefault="00696F57" w:rsidP="007B3F68">
      <w:pPr>
        <w:pStyle w:val="NormalWeb"/>
        <w:spacing w:line="276" w:lineRule="auto"/>
        <w:ind w:left="1440"/>
        <w:rPr>
          <w:rFonts w:ascii="Century Gothic" w:hAnsi="Century Gothic" w:cs="Arial"/>
          <w:szCs w:val="22"/>
        </w:rPr>
      </w:pPr>
      <w:r w:rsidRPr="007B3F68">
        <w:rPr>
          <w:rFonts w:ascii="Century Gothic" w:hAnsi="Century Gothic" w:cs="Arial"/>
          <w:szCs w:val="22"/>
        </w:rPr>
        <w:t xml:space="preserve">3. M/s. </w:t>
      </w:r>
      <w:proofErr w:type="spellStart"/>
      <w:r w:rsidRPr="007B3F68">
        <w:rPr>
          <w:rFonts w:ascii="Century Gothic" w:hAnsi="Century Gothic" w:cs="Arial"/>
          <w:szCs w:val="22"/>
        </w:rPr>
        <w:t>Pandit</w:t>
      </w:r>
      <w:proofErr w:type="spellEnd"/>
      <w:r w:rsidRPr="007B3F68">
        <w:rPr>
          <w:rFonts w:ascii="Century Gothic" w:hAnsi="Century Gothic" w:cs="Arial"/>
          <w:szCs w:val="22"/>
        </w:rPr>
        <w:t xml:space="preserve"> </w:t>
      </w:r>
      <w:proofErr w:type="spellStart"/>
      <w:r w:rsidRPr="007B3F68">
        <w:rPr>
          <w:rFonts w:ascii="Century Gothic" w:hAnsi="Century Gothic" w:cs="Arial"/>
          <w:szCs w:val="22"/>
        </w:rPr>
        <w:t>Munshi</w:t>
      </w:r>
      <w:proofErr w:type="spellEnd"/>
      <w:r w:rsidRPr="007B3F68">
        <w:rPr>
          <w:rFonts w:ascii="Century Gothic" w:hAnsi="Century Gothic" w:cs="Arial"/>
          <w:szCs w:val="22"/>
        </w:rPr>
        <w:t xml:space="preserve"> Ram and Associates (Pvt</w:t>
      </w:r>
      <w:proofErr w:type="gramStart"/>
      <w:r w:rsidRPr="007B3F68">
        <w:rPr>
          <w:rFonts w:ascii="Century Gothic" w:hAnsi="Century Gothic" w:cs="Arial"/>
          <w:szCs w:val="22"/>
        </w:rPr>
        <w:t>. )</w:t>
      </w:r>
      <w:proofErr w:type="gramEnd"/>
      <w:r w:rsidRPr="007B3F68">
        <w:rPr>
          <w:rFonts w:ascii="Century Gothic" w:hAnsi="Century Gothic" w:cs="Arial"/>
          <w:szCs w:val="22"/>
        </w:rPr>
        <w:t xml:space="preserve"> </w:t>
      </w:r>
      <w:proofErr w:type="gramStart"/>
      <w:r w:rsidRPr="007B3F68">
        <w:rPr>
          <w:rFonts w:ascii="Century Gothic" w:hAnsi="Century Gothic" w:cs="Arial"/>
          <w:szCs w:val="22"/>
        </w:rPr>
        <w:t>Ltd. v. Delhi Development Authority, AIR 2001 Delhi 82.</w:t>
      </w:r>
      <w:proofErr w:type="gramEnd"/>
    </w:p>
    <w:p w:rsidR="00696F57" w:rsidRPr="007B3F68" w:rsidRDefault="00696F57" w:rsidP="007B3F68">
      <w:pPr>
        <w:spacing w:line="276" w:lineRule="auto"/>
        <w:ind w:left="720" w:firstLine="720"/>
        <w:rPr>
          <w:rFonts w:ascii="Century Gothic" w:hAnsi="Century Gothic" w:cs="Arial"/>
          <w:szCs w:val="22"/>
        </w:rPr>
      </w:pPr>
      <w:r w:rsidRPr="007B3F68">
        <w:rPr>
          <w:rFonts w:ascii="Century Gothic" w:hAnsi="Century Gothic" w:cs="Arial"/>
          <w:szCs w:val="22"/>
        </w:rPr>
        <w:t>4. Union of India v. Chandra Engineers, 2001(4) CCC 85 (Raj</w:t>
      </w:r>
      <w:proofErr w:type="gramStart"/>
      <w:r w:rsidRPr="007B3F68">
        <w:rPr>
          <w:rFonts w:ascii="Century Gothic" w:hAnsi="Century Gothic" w:cs="Arial"/>
          <w:szCs w:val="22"/>
        </w:rPr>
        <w:t>. )</w:t>
      </w:r>
      <w:proofErr w:type="gramEnd"/>
      <w:r w:rsidRPr="007B3F68">
        <w:rPr>
          <w:rFonts w:ascii="Century Gothic" w:hAnsi="Century Gothic" w:cs="Arial"/>
          <w:szCs w:val="22"/>
        </w:rPr>
        <w:t>.</w:t>
      </w:r>
    </w:p>
    <w:p w:rsidR="00696F57" w:rsidRPr="007B3F68" w:rsidRDefault="00696F57" w:rsidP="007B3F68">
      <w:pPr>
        <w:pStyle w:val="NormalWeb"/>
        <w:spacing w:line="276" w:lineRule="auto"/>
        <w:jc w:val="both"/>
        <w:rPr>
          <w:rFonts w:ascii="Century Gothic" w:hAnsi="Century Gothic" w:cs="Arial"/>
          <w:szCs w:val="22"/>
        </w:rPr>
      </w:pPr>
    </w:p>
    <w:bookmarkEnd w:id="0"/>
    <w:p w:rsidR="00696F57" w:rsidRPr="007B3F68" w:rsidRDefault="00696F57" w:rsidP="007B3F68">
      <w:pPr>
        <w:spacing w:line="276" w:lineRule="auto"/>
        <w:rPr>
          <w:rFonts w:ascii="Century Gothic" w:hAnsi="Century Gothic" w:cs="Arial"/>
          <w:szCs w:val="22"/>
        </w:rPr>
      </w:pPr>
    </w:p>
    <w:sectPr w:rsidR="00696F57" w:rsidRPr="007B3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55"/>
    <w:rsid w:val="00024455"/>
    <w:rsid w:val="00102C7C"/>
    <w:rsid w:val="004A5D33"/>
    <w:rsid w:val="00696F57"/>
    <w:rsid w:val="007B3F68"/>
    <w:rsid w:val="007F7CBF"/>
    <w:rsid w:val="00927DA6"/>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5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96F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5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96F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APPLICATION%20UNDER%20SECTION%2011%20OF%20THE%20ARBITRATION%20AND%20CONCILIATION%20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11 OF THE ARBITRATION AND CONCILIATION ACT</Template>
  <TotalTime>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2024-06-11T11:52:00Z</dcterms:created>
  <dcterms:modified xsi:type="dcterms:W3CDTF">2024-06-11T11:52:00Z</dcterms:modified>
</cp:coreProperties>
</file>