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C8" w:rsidRPr="007C3A0B" w:rsidRDefault="00857CC8" w:rsidP="007C3A0B">
      <w:pPr>
        <w:pStyle w:val="NormalWeb"/>
        <w:spacing w:line="276" w:lineRule="auto"/>
        <w:rPr>
          <w:rFonts w:ascii="Century Gothic" w:hAnsi="Century Gothic" w:cs="Verdana"/>
          <w:b/>
          <w:bCs/>
        </w:rPr>
      </w:pPr>
      <w:bookmarkStart w:id="0" w:name="_GoBack"/>
      <w:r w:rsidRPr="007C3A0B">
        <w:rPr>
          <w:rFonts w:ascii="Century Gothic" w:hAnsi="Century Gothic" w:cs="Verdana"/>
          <w:b/>
          <w:bCs/>
        </w:rPr>
        <w:t>APPLICATION UNDER SECTION 115 C. P. C. — REVISION IN DISTRICT COURT</w:t>
      </w:r>
    </w:p>
    <w:p w:rsidR="00857CC8" w:rsidRPr="007C3A0B" w:rsidRDefault="00857CC8" w:rsidP="007C3A0B">
      <w:pPr>
        <w:pStyle w:val="NormalWeb"/>
        <w:spacing w:line="276" w:lineRule="auto"/>
        <w:rPr>
          <w:rFonts w:ascii="Century Gothic" w:hAnsi="Century Gothic" w:cs="Verdana"/>
        </w:rPr>
      </w:pPr>
      <w:proofErr w:type="gramStart"/>
      <w:r w:rsidRPr="007C3A0B">
        <w:rPr>
          <w:rFonts w:ascii="Century Gothic" w:hAnsi="Century Gothic" w:cs="Verdana"/>
        </w:rPr>
        <w:t>IN THE COURT OF THE DISTRICT JUDGE....................</w:t>
      </w:r>
      <w:proofErr w:type="gramEnd"/>
    </w:p>
    <w:p w:rsidR="00857CC8" w:rsidRPr="007C3A0B" w:rsidRDefault="00857CC8" w:rsidP="007C3A0B">
      <w:pPr>
        <w:pStyle w:val="NormalWeb"/>
        <w:spacing w:line="276" w:lineRule="auto"/>
        <w:rPr>
          <w:rFonts w:ascii="Century Gothic" w:hAnsi="Century Gothic" w:cs="Verdana"/>
        </w:rPr>
      </w:pPr>
      <w:r w:rsidRPr="007C3A0B">
        <w:rPr>
          <w:rFonts w:ascii="Century Gothic" w:hAnsi="Century Gothic" w:cs="Verdana"/>
        </w:rPr>
        <w:t xml:space="preserve">Civil Rev. No..................... </w:t>
      </w:r>
      <w:proofErr w:type="gramStart"/>
      <w:r w:rsidRPr="007C3A0B">
        <w:rPr>
          <w:rFonts w:ascii="Century Gothic" w:hAnsi="Century Gothic" w:cs="Verdana"/>
        </w:rPr>
        <w:t>of</w:t>
      </w:r>
      <w:proofErr w:type="gramEnd"/>
      <w:r w:rsidRPr="007C3A0B">
        <w:rPr>
          <w:rFonts w:ascii="Century Gothic" w:hAnsi="Century Gothic" w:cs="Verdana"/>
        </w:rPr>
        <w:t xml:space="preserve"> 19.............................</w:t>
      </w:r>
    </w:p>
    <w:p w:rsidR="00857CC8" w:rsidRPr="007C3A0B" w:rsidRDefault="00857CC8" w:rsidP="007C3A0B">
      <w:pPr>
        <w:pStyle w:val="NormalWeb"/>
        <w:spacing w:line="276" w:lineRule="auto"/>
        <w:rPr>
          <w:rFonts w:ascii="Century Gothic" w:hAnsi="Century Gothic" w:cs="Verdana"/>
        </w:rPr>
      </w:pPr>
      <w:proofErr w:type="gramStart"/>
      <w:r w:rsidRPr="007C3A0B">
        <w:rPr>
          <w:rFonts w:ascii="Century Gothic" w:hAnsi="Century Gothic" w:cs="Verdana"/>
        </w:rPr>
        <w:t>U/s. 115 C. P. C.</w:t>
      </w:r>
      <w:proofErr w:type="gramEnd"/>
    </w:p>
    <w:p w:rsidR="00857CC8" w:rsidRPr="007C3A0B" w:rsidRDefault="00857CC8" w:rsidP="007C3A0B">
      <w:pPr>
        <w:pStyle w:val="NormalWeb"/>
        <w:spacing w:line="276" w:lineRule="auto"/>
        <w:jc w:val="center"/>
        <w:rPr>
          <w:rFonts w:ascii="Century Gothic" w:hAnsi="Century Gothic" w:cs="Verdana"/>
        </w:rPr>
      </w:pPr>
      <w:r w:rsidRPr="007C3A0B">
        <w:rPr>
          <w:rFonts w:ascii="Century Gothic" w:hAnsi="Century Gothic" w:cs="Verdana"/>
        </w:rPr>
        <w:t>A. B.................................................. Plaintiff/Applicant</w:t>
      </w:r>
    </w:p>
    <w:p w:rsidR="00857CC8" w:rsidRPr="007C3A0B" w:rsidRDefault="00857CC8" w:rsidP="007C3A0B">
      <w:pPr>
        <w:pStyle w:val="NormalWeb"/>
        <w:spacing w:line="276" w:lineRule="auto"/>
        <w:jc w:val="center"/>
        <w:rPr>
          <w:rFonts w:ascii="Century Gothic" w:hAnsi="Century Gothic" w:cs="Verdana"/>
          <w:i/>
          <w:iCs/>
        </w:rPr>
      </w:pPr>
      <w:proofErr w:type="gramStart"/>
      <w:r w:rsidRPr="007C3A0B">
        <w:rPr>
          <w:rFonts w:ascii="Century Gothic" w:hAnsi="Century Gothic" w:cs="Verdana"/>
          <w:i/>
          <w:iCs/>
        </w:rPr>
        <w:t>versus</w:t>
      </w:r>
      <w:proofErr w:type="gramEnd"/>
      <w:r w:rsidRPr="007C3A0B">
        <w:rPr>
          <w:rFonts w:ascii="Century Gothic" w:hAnsi="Century Gothic" w:cs="Verdana"/>
          <w:i/>
          <w:iCs/>
        </w:rPr>
        <w:t xml:space="preserve"> </w:t>
      </w:r>
    </w:p>
    <w:p w:rsidR="00857CC8" w:rsidRPr="007C3A0B" w:rsidRDefault="00857CC8" w:rsidP="007C3A0B">
      <w:pPr>
        <w:pStyle w:val="NormalWeb"/>
        <w:spacing w:line="276" w:lineRule="auto"/>
        <w:jc w:val="center"/>
        <w:rPr>
          <w:rFonts w:ascii="Century Gothic" w:hAnsi="Century Gothic" w:cs="Verdana"/>
        </w:rPr>
      </w:pPr>
      <w:r w:rsidRPr="007C3A0B">
        <w:rPr>
          <w:rFonts w:ascii="Century Gothic" w:hAnsi="Century Gothic" w:cs="Verdana"/>
        </w:rPr>
        <w:t>CD............................................ Defendant/Respondent</w:t>
      </w:r>
    </w:p>
    <w:p w:rsidR="00857CC8" w:rsidRPr="007C3A0B" w:rsidRDefault="00857CC8" w:rsidP="007C3A0B">
      <w:pPr>
        <w:pStyle w:val="NormalWeb"/>
        <w:spacing w:line="276" w:lineRule="auto"/>
        <w:rPr>
          <w:rFonts w:ascii="Century Gothic" w:hAnsi="Century Gothic" w:cs="Verdana"/>
        </w:rPr>
      </w:pPr>
      <w:r w:rsidRPr="007C3A0B">
        <w:rPr>
          <w:rFonts w:ascii="Century Gothic" w:hAnsi="Century Gothic" w:cs="Verdana"/>
        </w:rPr>
        <w:t xml:space="preserve">Valuation of suit property: </w:t>
      </w:r>
      <w:proofErr w:type="spellStart"/>
      <w:r w:rsidRPr="007C3A0B">
        <w:rPr>
          <w:rFonts w:ascii="Century Gothic" w:hAnsi="Century Gothic" w:cs="Verdana"/>
        </w:rPr>
        <w:t>Rs</w:t>
      </w:r>
      <w:proofErr w:type="spellEnd"/>
      <w:r w:rsidRPr="007C3A0B">
        <w:rPr>
          <w:rFonts w:ascii="Century Gothic" w:hAnsi="Century Gothic" w:cs="Verdana"/>
        </w:rPr>
        <w:t>.....................</w:t>
      </w:r>
    </w:p>
    <w:p w:rsidR="00857CC8" w:rsidRPr="007C3A0B" w:rsidRDefault="00857CC8" w:rsidP="007C3A0B">
      <w:pPr>
        <w:pStyle w:val="NormalWeb"/>
        <w:spacing w:line="276" w:lineRule="auto"/>
        <w:rPr>
          <w:rFonts w:ascii="Century Gothic" w:hAnsi="Century Gothic" w:cs="Verdana"/>
        </w:rPr>
      </w:pPr>
      <w:r w:rsidRPr="007C3A0B">
        <w:rPr>
          <w:rFonts w:ascii="Century Gothic" w:hAnsi="Century Gothic" w:cs="Verdana"/>
        </w:rPr>
        <w:t>Nature of Suit: Suit for injunction</w:t>
      </w:r>
    </w:p>
    <w:p w:rsidR="00857CC8" w:rsidRPr="007C3A0B" w:rsidRDefault="00857CC8" w:rsidP="007C3A0B">
      <w:pPr>
        <w:pStyle w:val="NormalWeb"/>
        <w:spacing w:line="276" w:lineRule="auto"/>
        <w:rPr>
          <w:rFonts w:ascii="Century Gothic" w:hAnsi="Century Gothic" w:cs="Verdana"/>
        </w:rPr>
      </w:pPr>
      <w:r w:rsidRPr="007C3A0B">
        <w:rPr>
          <w:rFonts w:ascii="Century Gothic" w:hAnsi="Century Gothic" w:cs="Verdana"/>
        </w:rPr>
        <w:t xml:space="preserve">Court fee paid on Revision Application: </w:t>
      </w:r>
      <w:proofErr w:type="spellStart"/>
      <w:r w:rsidRPr="007C3A0B">
        <w:rPr>
          <w:rFonts w:ascii="Century Gothic" w:hAnsi="Century Gothic" w:cs="Verdana"/>
        </w:rPr>
        <w:t>Rs</w:t>
      </w:r>
      <w:proofErr w:type="spellEnd"/>
      <w:r w:rsidRPr="007C3A0B">
        <w:rPr>
          <w:rFonts w:ascii="Century Gothic" w:hAnsi="Century Gothic" w:cs="Verdana"/>
        </w:rPr>
        <w:t>.....................</w:t>
      </w:r>
    </w:p>
    <w:p w:rsidR="00857CC8" w:rsidRPr="007C3A0B" w:rsidRDefault="00857CC8" w:rsidP="007C3A0B">
      <w:pPr>
        <w:pStyle w:val="NormalWeb"/>
        <w:spacing w:line="276" w:lineRule="auto"/>
        <w:rPr>
          <w:rFonts w:ascii="Century Gothic" w:hAnsi="Century Gothic" w:cs="Verdana"/>
        </w:rPr>
      </w:pPr>
      <w:r w:rsidRPr="007C3A0B">
        <w:rPr>
          <w:rFonts w:ascii="Century Gothic" w:hAnsi="Century Gothic" w:cs="Verdana"/>
        </w:rPr>
        <w:t>Sir,</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The Revision application against the order dated.................... </w:t>
      </w:r>
      <w:proofErr w:type="gramStart"/>
      <w:r w:rsidRPr="007C3A0B">
        <w:rPr>
          <w:rFonts w:ascii="Century Gothic" w:hAnsi="Century Gothic" w:cs="Verdana"/>
        </w:rPr>
        <w:t>of</w:t>
      </w:r>
      <w:proofErr w:type="gramEnd"/>
      <w:r w:rsidRPr="007C3A0B">
        <w:rPr>
          <w:rFonts w:ascii="Century Gothic" w:hAnsi="Century Gothic" w:cs="Verdana"/>
        </w:rPr>
        <w:t xml:space="preserve"> the XVIII Additional </w:t>
      </w:r>
      <w:proofErr w:type="spellStart"/>
      <w:r w:rsidRPr="007C3A0B">
        <w:rPr>
          <w:rFonts w:ascii="Century Gothic" w:hAnsi="Century Gothic" w:cs="Verdana"/>
        </w:rPr>
        <w:t>Munsif</w:t>
      </w:r>
      <w:proofErr w:type="spellEnd"/>
      <w:r w:rsidRPr="007C3A0B">
        <w:rPr>
          <w:rFonts w:ascii="Century Gothic" w:hAnsi="Century Gothic" w:cs="Verdana"/>
        </w:rPr>
        <w:t xml:space="preserve">,.................... </w:t>
      </w:r>
      <w:proofErr w:type="gramStart"/>
      <w:r w:rsidRPr="007C3A0B">
        <w:rPr>
          <w:rFonts w:ascii="Century Gothic" w:hAnsi="Century Gothic" w:cs="Verdana"/>
        </w:rPr>
        <w:t>in</w:t>
      </w:r>
      <w:proofErr w:type="gramEnd"/>
      <w:r w:rsidRPr="007C3A0B">
        <w:rPr>
          <w:rFonts w:ascii="Century Gothic" w:hAnsi="Century Gothic" w:cs="Verdana"/>
        </w:rPr>
        <w:t xml:space="preserve"> suit No..................... </w:t>
      </w:r>
      <w:proofErr w:type="gramStart"/>
      <w:r w:rsidRPr="007C3A0B">
        <w:rPr>
          <w:rFonts w:ascii="Century Gothic" w:hAnsi="Century Gothic" w:cs="Verdana"/>
        </w:rPr>
        <w:t>of</w:t>
      </w:r>
      <w:proofErr w:type="gramEnd"/>
      <w:r w:rsidRPr="007C3A0B">
        <w:rPr>
          <w:rFonts w:ascii="Century Gothic" w:hAnsi="Century Gothic" w:cs="Verdana"/>
        </w:rPr>
        <w:t xml:space="preserve"> 19.................... </w:t>
      </w:r>
      <w:proofErr w:type="gramStart"/>
      <w:r w:rsidRPr="007C3A0B">
        <w:rPr>
          <w:rFonts w:ascii="Century Gothic" w:hAnsi="Century Gothic" w:cs="Verdana"/>
        </w:rPr>
        <w:t>is</w:t>
      </w:r>
      <w:proofErr w:type="gramEnd"/>
      <w:r w:rsidRPr="007C3A0B">
        <w:rPr>
          <w:rFonts w:ascii="Century Gothic" w:hAnsi="Century Gothic" w:cs="Verdana"/>
        </w:rPr>
        <w:t xml:space="preserve"> most respectfully submitted on the following grounds:</w:t>
      </w:r>
    </w:p>
    <w:p w:rsidR="00857CC8" w:rsidRPr="007C3A0B" w:rsidRDefault="00857CC8" w:rsidP="007C3A0B">
      <w:pPr>
        <w:pStyle w:val="NormalWeb"/>
        <w:spacing w:line="276" w:lineRule="auto"/>
        <w:jc w:val="center"/>
        <w:rPr>
          <w:rFonts w:ascii="Century Gothic" w:hAnsi="Century Gothic" w:cs="Verdana"/>
          <w:b/>
          <w:bCs/>
        </w:rPr>
      </w:pPr>
      <w:r w:rsidRPr="007C3A0B">
        <w:rPr>
          <w:rFonts w:ascii="Century Gothic" w:hAnsi="Century Gothic" w:cs="Verdana"/>
          <w:b/>
          <w:bCs/>
        </w:rPr>
        <w:t>GROUNDS OF REVISION</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1. Because the learned Trial Court has failed to exercise his jurisdiction vested in him, in not considering the amendment application in its proper and legal aspect.</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2. Because the amendment sought does not purport to change the nature of the suit, it is a suit for injunction against the defendant for restraining him from illegally closing the door, windows and sky lights of the plaintiff and complainant after having to his notice the correct facts about the nature of possession of the defendant over the servant heritage, asked to add a relief about compensation as envisaged in S. 32 of the Easements Act and its illustration which directly applies to the applicant’s case. The Learned </w:t>
      </w:r>
      <w:proofErr w:type="spellStart"/>
      <w:r w:rsidRPr="007C3A0B">
        <w:rPr>
          <w:rFonts w:ascii="Century Gothic" w:hAnsi="Century Gothic" w:cs="Verdana"/>
        </w:rPr>
        <w:t>Munsif</w:t>
      </w:r>
      <w:proofErr w:type="spellEnd"/>
      <w:r w:rsidRPr="007C3A0B">
        <w:rPr>
          <w:rFonts w:ascii="Century Gothic" w:hAnsi="Century Gothic" w:cs="Verdana"/>
        </w:rPr>
        <w:t xml:space="preserve"> has not given any </w:t>
      </w:r>
      <w:r w:rsidRPr="007C3A0B">
        <w:rPr>
          <w:rFonts w:ascii="Century Gothic" w:hAnsi="Century Gothic" w:cs="Verdana"/>
        </w:rPr>
        <w:lastRenderedPageBreak/>
        <w:t>consideration to this contention of the applicant and has arbitrarily passed the impugned order.</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3. Because the applicant has also sought to amend the site plan of the property about which the relief of injunction is claimed. The learned, </w:t>
      </w:r>
      <w:proofErr w:type="spellStart"/>
      <w:r w:rsidRPr="007C3A0B">
        <w:rPr>
          <w:rFonts w:ascii="Century Gothic" w:hAnsi="Century Gothic" w:cs="Verdana"/>
        </w:rPr>
        <w:t>Munsif</w:t>
      </w:r>
      <w:proofErr w:type="spellEnd"/>
      <w:r w:rsidRPr="007C3A0B">
        <w:rPr>
          <w:rFonts w:ascii="Century Gothic" w:hAnsi="Century Gothic" w:cs="Verdana"/>
        </w:rPr>
        <w:t xml:space="preserve"> has not considered at all this part of the proposed amendment and has evaded </w:t>
      </w:r>
      <w:proofErr w:type="gramStart"/>
      <w:r w:rsidRPr="007C3A0B">
        <w:rPr>
          <w:rFonts w:ascii="Century Gothic" w:hAnsi="Century Gothic" w:cs="Verdana"/>
        </w:rPr>
        <w:t>to give</w:t>
      </w:r>
      <w:proofErr w:type="gramEnd"/>
      <w:r w:rsidRPr="007C3A0B">
        <w:rPr>
          <w:rFonts w:ascii="Century Gothic" w:hAnsi="Century Gothic" w:cs="Verdana"/>
        </w:rPr>
        <w:t xml:space="preserve"> his decision thereon.</w:t>
      </w:r>
    </w:p>
    <w:p w:rsidR="00857CC8" w:rsidRPr="007C3A0B" w:rsidRDefault="00857CC8" w:rsidP="007C3A0B">
      <w:pPr>
        <w:pStyle w:val="NormalWeb"/>
        <w:spacing w:line="276" w:lineRule="auto"/>
        <w:jc w:val="center"/>
        <w:rPr>
          <w:rFonts w:ascii="Century Gothic" w:hAnsi="Century Gothic" w:cs="Verdana"/>
          <w:b/>
          <w:bCs/>
        </w:rPr>
      </w:pPr>
      <w:r w:rsidRPr="007C3A0B">
        <w:rPr>
          <w:rFonts w:ascii="Century Gothic" w:hAnsi="Century Gothic" w:cs="Verdana"/>
          <w:b/>
          <w:bCs/>
        </w:rPr>
        <w:t>PRAYER</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It is, therefore, most respectfully prayed that the Revision application may be allowed, setting aside the order of the learned </w:t>
      </w:r>
      <w:proofErr w:type="spellStart"/>
      <w:r w:rsidRPr="007C3A0B">
        <w:rPr>
          <w:rFonts w:ascii="Century Gothic" w:hAnsi="Century Gothic" w:cs="Verdana"/>
        </w:rPr>
        <w:t>Munsif</w:t>
      </w:r>
      <w:proofErr w:type="spellEnd"/>
      <w:r w:rsidRPr="007C3A0B">
        <w:rPr>
          <w:rFonts w:ascii="Century Gothic" w:hAnsi="Century Gothic" w:cs="Verdana"/>
        </w:rPr>
        <w:t xml:space="preserve"> and allowing the application for amendment of the plaintiff.</w:t>
      </w:r>
    </w:p>
    <w:p w:rsidR="00857CC8" w:rsidRPr="007C3A0B" w:rsidRDefault="00857CC8" w:rsidP="007C3A0B">
      <w:pPr>
        <w:pStyle w:val="NormalWeb"/>
        <w:spacing w:line="276" w:lineRule="auto"/>
        <w:jc w:val="right"/>
        <w:rPr>
          <w:rFonts w:ascii="Century Gothic" w:hAnsi="Century Gothic" w:cs="Verdana"/>
        </w:rPr>
      </w:pPr>
      <w:r w:rsidRPr="007C3A0B">
        <w:rPr>
          <w:rFonts w:ascii="Century Gothic" w:hAnsi="Century Gothic" w:cs="Verdana"/>
        </w:rPr>
        <w:t>Dated.................... Counsel for the Plaintiff</w:t>
      </w:r>
    </w:p>
    <w:p w:rsidR="00857CC8" w:rsidRPr="007C3A0B" w:rsidRDefault="00857CC8" w:rsidP="007C3A0B">
      <w:pPr>
        <w:pStyle w:val="NormalWeb"/>
        <w:spacing w:line="276" w:lineRule="auto"/>
        <w:jc w:val="center"/>
        <w:rPr>
          <w:rFonts w:ascii="Century Gothic" w:hAnsi="Century Gothic" w:cs="Verdana"/>
          <w:b/>
          <w:bCs/>
        </w:rPr>
      </w:pPr>
      <w:r w:rsidRPr="007C3A0B">
        <w:rPr>
          <w:rFonts w:ascii="Century Gothic" w:hAnsi="Century Gothic" w:cs="Verdana"/>
          <w:b/>
          <w:bCs/>
        </w:rPr>
        <w:t>CASE LAW</w:t>
      </w:r>
    </w:p>
    <w:p w:rsidR="00857CC8" w:rsidRPr="007C3A0B" w:rsidRDefault="00857CC8" w:rsidP="007C3A0B">
      <w:pPr>
        <w:pStyle w:val="NormalWeb"/>
        <w:spacing w:line="276" w:lineRule="auto"/>
        <w:rPr>
          <w:rFonts w:ascii="Century Gothic" w:hAnsi="Century Gothic" w:cs="Verdana"/>
          <w:b/>
          <w:bCs/>
          <w:i/>
          <w:iCs/>
        </w:rPr>
      </w:pPr>
      <w:r w:rsidRPr="007C3A0B">
        <w:rPr>
          <w:rFonts w:ascii="Century Gothic" w:hAnsi="Century Gothic" w:cs="Verdana"/>
          <w:b/>
          <w:bCs/>
          <w:i/>
          <w:iCs/>
        </w:rPr>
        <w:t>Section 115</w:t>
      </w:r>
    </w:p>
    <w:p w:rsidR="00857CC8" w:rsidRPr="007C3A0B" w:rsidRDefault="00857CC8" w:rsidP="007C3A0B">
      <w:pPr>
        <w:pStyle w:val="NormalWeb"/>
        <w:spacing w:line="276" w:lineRule="auto"/>
        <w:jc w:val="both"/>
        <w:rPr>
          <w:rFonts w:ascii="Century Gothic" w:hAnsi="Century Gothic" w:cs="Verdana"/>
          <w:b/>
          <w:bCs/>
        </w:rPr>
      </w:pPr>
      <w:r w:rsidRPr="007C3A0B">
        <w:rPr>
          <w:rFonts w:ascii="Century Gothic" w:hAnsi="Century Gothic" w:cs="Verdana"/>
          <w:b/>
          <w:bCs/>
        </w:rPr>
        <w:t>HIGH COURT CANNOT REAPPRECIATE EVIDENCE AND CANNOT SET ASIDE CONCURRENT FINDINGS OF COURTS BELOW BY TAKING DIFFERENT VIEW OF EVIDENCE.</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It appears that both the Presiding Officers of both the Courts below have in fact inspected the building and came to the firm finding that the building is old and is in a dilapidated condition and, therefore, it needs reconstruction of the building and so the Order of eviction was passed by the trial court and the same was affirmed by the lower appellate Court.</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It is well settled position in law that under Section 115 of the Code of Civil Procedure the High Court cannot </w:t>
      </w:r>
      <w:proofErr w:type="spellStart"/>
      <w:r w:rsidRPr="007C3A0B">
        <w:rPr>
          <w:rFonts w:ascii="Century Gothic" w:hAnsi="Century Gothic" w:cs="Verdana"/>
        </w:rPr>
        <w:t>reappreciate</w:t>
      </w:r>
      <w:proofErr w:type="spellEnd"/>
      <w:r w:rsidRPr="007C3A0B">
        <w:rPr>
          <w:rFonts w:ascii="Century Gothic" w:hAnsi="Century Gothic" w:cs="Verdana"/>
        </w:rPr>
        <w:t xml:space="preserve"> the evidence and cannot set aside the concurrent findings of the Courts below by taking a different view of the evidence. The High Court is empowered only to interfere with the findings of fact if the findings are perverse or there has been a non-appreciation or non-consideration of the material evidence on record by the Court below. Simply because another view of the evidence may be taken is no ground by the High Court to interfere in its </w:t>
      </w:r>
      <w:proofErr w:type="spellStart"/>
      <w:r w:rsidRPr="007C3A0B">
        <w:rPr>
          <w:rFonts w:ascii="Century Gothic" w:hAnsi="Century Gothic" w:cs="Verdana"/>
        </w:rPr>
        <w:t>revisional</w:t>
      </w:r>
      <w:proofErr w:type="spellEnd"/>
      <w:r w:rsidRPr="007C3A0B">
        <w:rPr>
          <w:rFonts w:ascii="Century Gothic" w:hAnsi="Century Gothic" w:cs="Verdana"/>
        </w:rPr>
        <w:t xml:space="preserve"> jurisdiction1.</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JURISDICTION TO EXTEND TIME.</w:t>
      </w:r>
      <w:proofErr w:type="gramEnd"/>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lastRenderedPageBreak/>
        <w:t xml:space="preserve">Trial Court had jurisdiction to extend the time under Section 148, C. P. C. on sufficient cause being made out. Condition precedent to enable the High Court to exercise its </w:t>
      </w:r>
      <w:proofErr w:type="spellStart"/>
      <w:r w:rsidRPr="007C3A0B">
        <w:rPr>
          <w:rFonts w:ascii="Century Gothic" w:hAnsi="Century Gothic" w:cs="Verdana"/>
        </w:rPr>
        <w:t>revisional</w:t>
      </w:r>
      <w:proofErr w:type="spellEnd"/>
      <w:r w:rsidRPr="007C3A0B">
        <w:rPr>
          <w:rFonts w:ascii="Century Gothic" w:hAnsi="Century Gothic" w:cs="Verdana"/>
        </w:rPr>
        <w:t xml:space="preserve"> jurisdiction under Section 115, C. P. C. was lacking2.</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JURISDICTION OF HIGH COURT.</w:t>
      </w:r>
      <w:proofErr w:type="gramEnd"/>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High Court while exercising the jurisdiction is competent not only to see the irregular or illegal exercise of jurisdiction but also to see to the legality or propriety of the order in question3.</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EXERCISE OF REVISIONAL JURISDICTION.</w:t>
      </w:r>
      <w:proofErr w:type="gramEnd"/>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High Court, exercising </w:t>
      </w:r>
      <w:proofErr w:type="spellStart"/>
      <w:r w:rsidRPr="007C3A0B">
        <w:rPr>
          <w:rFonts w:ascii="Century Gothic" w:hAnsi="Century Gothic" w:cs="Verdana"/>
        </w:rPr>
        <w:t>revisional</w:t>
      </w:r>
      <w:proofErr w:type="spellEnd"/>
      <w:r w:rsidRPr="007C3A0B">
        <w:rPr>
          <w:rFonts w:ascii="Century Gothic" w:hAnsi="Century Gothic" w:cs="Verdana"/>
        </w:rPr>
        <w:t xml:space="preserve"> jurisdiction could not interfere with the concurrent findings and set aside the order of eviction4.</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REVISION — MAINTAINABILITY.</w:t>
      </w:r>
      <w:proofErr w:type="gramEnd"/>
    </w:p>
    <w:p w:rsidR="00857CC8" w:rsidRPr="007C3A0B" w:rsidRDefault="00857CC8" w:rsidP="007C3A0B">
      <w:pPr>
        <w:pStyle w:val="NormalWeb"/>
        <w:spacing w:line="276" w:lineRule="auto"/>
        <w:rPr>
          <w:rFonts w:ascii="Century Gothic" w:hAnsi="Century Gothic" w:cs="Verdana"/>
          <w:b/>
          <w:bCs/>
          <w:i/>
          <w:iCs/>
        </w:rPr>
      </w:pPr>
      <w:r w:rsidRPr="007C3A0B">
        <w:rPr>
          <w:rFonts w:ascii="Century Gothic" w:hAnsi="Century Gothic" w:cs="Verdana"/>
          <w:b/>
          <w:bCs/>
          <w:i/>
          <w:iCs/>
        </w:rPr>
        <w:t>Section 115</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The maintainability of the revision depends upon two conditions firstly that it must relate to a case decided by the Court subordinate to the High Court and secondly in connection with the case decided, no appeal </w:t>
      </w:r>
      <w:proofErr w:type="gramStart"/>
      <w:r w:rsidRPr="007C3A0B">
        <w:rPr>
          <w:rFonts w:ascii="Century Gothic" w:hAnsi="Century Gothic" w:cs="Verdana"/>
        </w:rPr>
        <w:t>lies</w:t>
      </w:r>
      <w:proofErr w:type="gramEnd"/>
      <w:r w:rsidRPr="007C3A0B">
        <w:rPr>
          <w:rFonts w:ascii="Century Gothic" w:hAnsi="Century Gothic" w:cs="Verdana"/>
        </w:rPr>
        <w:t xml:space="preserve"> thereto.5</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REVISION — MAINTAINABILITY.</w:t>
      </w:r>
      <w:proofErr w:type="gramEnd"/>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Where the Court was merely postponing consideration of issue so that it may hear both parties and decide matter it did not amount to case decided. Revision is maintainable.6</w:t>
      </w:r>
    </w:p>
    <w:p w:rsidR="00857CC8" w:rsidRPr="007C3A0B" w:rsidRDefault="00857CC8" w:rsidP="007C3A0B">
      <w:pPr>
        <w:pStyle w:val="NormalWeb"/>
        <w:spacing w:line="276" w:lineRule="auto"/>
        <w:rPr>
          <w:rFonts w:ascii="Century Gothic" w:hAnsi="Century Gothic" w:cs="Verdana"/>
          <w:b/>
          <w:bCs/>
        </w:rPr>
      </w:pPr>
      <w:proofErr w:type="gramStart"/>
      <w:r w:rsidRPr="007C3A0B">
        <w:rPr>
          <w:rFonts w:ascii="Century Gothic" w:hAnsi="Century Gothic" w:cs="Verdana"/>
          <w:b/>
          <w:bCs/>
        </w:rPr>
        <w:t>REVISION — MAINTAINABILITY.</w:t>
      </w:r>
      <w:proofErr w:type="gramEnd"/>
    </w:p>
    <w:p w:rsidR="00857CC8" w:rsidRPr="007C3A0B" w:rsidRDefault="00857CC8" w:rsidP="007C3A0B">
      <w:pPr>
        <w:pStyle w:val="NormalWeb"/>
        <w:spacing w:line="276" w:lineRule="auto"/>
        <w:jc w:val="both"/>
        <w:rPr>
          <w:rFonts w:ascii="Century Gothic" w:hAnsi="Century Gothic" w:cs="Verdana"/>
          <w:b/>
          <w:bCs/>
          <w:i/>
          <w:iCs/>
        </w:rPr>
      </w:pPr>
      <w:r w:rsidRPr="007C3A0B">
        <w:rPr>
          <w:rFonts w:ascii="Century Gothic" w:hAnsi="Century Gothic" w:cs="Verdana"/>
          <w:b/>
          <w:bCs/>
          <w:i/>
          <w:iCs/>
        </w:rPr>
        <w:t>Section 115, Order 38, Rule 1</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Where in a suit seeking recovery of money, the plaintiff filed application seeking arrest before </w:t>
      </w:r>
      <w:proofErr w:type="spellStart"/>
      <w:r w:rsidRPr="007C3A0B">
        <w:rPr>
          <w:rFonts w:ascii="Century Gothic" w:hAnsi="Century Gothic" w:cs="Verdana"/>
        </w:rPr>
        <w:t>judgement</w:t>
      </w:r>
      <w:proofErr w:type="spellEnd"/>
      <w:r w:rsidRPr="007C3A0B">
        <w:rPr>
          <w:rFonts w:ascii="Century Gothic" w:hAnsi="Century Gothic" w:cs="Verdana"/>
        </w:rPr>
        <w:t xml:space="preserve"> of the defendant and on appearance of the defendant the application of the plaintiff was closed by the Court, against such order of the Court revision application was maintainable.7</w:t>
      </w:r>
    </w:p>
    <w:p w:rsidR="00857CC8" w:rsidRPr="007C3A0B" w:rsidRDefault="00857CC8" w:rsidP="007C3A0B">
      <w:pPr>
        <w:pStyle w:val="NormalWeb"/>
        <w:spacing w:line="276" w:lineRule="auto"/>
        <w:jc w:val="both"/>
        <w:rPr>
          <w:rFonts w:ascii="Century Gothic" w:hAnsi="Century Gothic" w:cs="Verdana"/>
          <w:b/>
          <w:bCs/>
        </w:rPr>
      </w:pPr>
      <w:r w:rsidRPr="007C3A0B">
        <w:rPr>
          <w:rFonts w:ascii="Century Gothic" w:hAnsi="Century Gothic" w:cs="Verdana"/>
          <w:b/>
          <w:bCs/>
        </w:rPr>
        <w:t>REMEDY UNDER SECTION 151 NOT ONLY DISCRETIONARY BUT EQUITABLE.</w:t>
      </w:r>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lastRenderedPageBreak/>
        <w:t>The remedy under Section 115 is not only discretionary but at the same time it is equitable.8</w:t>
      </w:r>
    </w:p>
    <w:p w:rsidR="00857CC8" w:rsidRPr="007C3A0B" w:rsidRDefault="00857CC8" w:rsidP="007C3A0B">
      <w:pPr>
        <w:pStyle w:val="NormalWeb"/>
        <w:spacing w:line="276" w:lineRule="auto"/>
        <w:jc w:val="both"/>
        <w:rPr>
          <w:rFonts w:ascii="Century Gothic" w:hAnsi="Century Gothic" w:cs="Verdana"/>
          <w:b/>
          <w:bCs/>
        </w:rPr>
      </w:pPr>
      <w:proofErr w:type="gramStart"/>
      <w:r w:rsidRPr="007C3A0B">
        <w:rPr>
          <w:rFonts w:ascii="Century Gothic" w:hAnsi="Century Gothic" w:cs="Verdana"/>
          <w:b/>
          <w:bCs/>
        </w:rPr>
        <w:t>INVOCATION OF REVISIONAL JURISDICTION ON QUESTION OF PAYMENT OF COURT FEE.</w:t>
      </w:r>
      <w:proofErr w:type="gramEnd"/>
    </w:p>
    <w:p w:rsidR="00857CC8" w:rsidRPr="007C3A0B" w:rsidRDefault="00857CC8" w:rsidP="007C3A0B">
      <w:pPr>
        <w:pStyle w:val="NormalWeb"/>
        <w:spacing w:line="276" w:lineRule="auto"/>
        <w:jc w:val="both"/>
        <w:rPr>
          <w:rFonts w:ascii="Century Gothic" w:hAnsi="Century Gothic" w:cs="Verdana"/>
        </w:rPr>
      </w:pPr>
      <w:r w:rsidRPr="007C3A0B">
        <w:rPr>
          <w:rFonts w:ascii="Century Gothic" w:hAnsi="Century Gothic" w:cs="Verdana"/>
        </w:rPr>
        <w:t xml:space="preserve">Though defendants would ask for enquiry with reference to the value of the Court-fee payable on the plaint, the defendants cannot have any grievance against the order overruling the objection to get him entitled to invoke the </w:t>
      </w:r>
      <w:proofErr w:type="spellStart"/>
      <w:r w:rsidRPr="007C3A0B">
        <w:rPr>
          <w:rFonts w:ascii="Century Gothic" w:hAnsi="Century Gothic" w:cs="Verdana"/>
        </w:rPr>
        <w:t>revisional</w:t>
      </w:r>
      <w:proofErr w:type="spellEnd"/>
      <w:r w:rsidRPr="007C3A0B">
        <w:rPr>
          <w:rFonts w:ascii="Century Gothic" w:hAnsi="Century Gothic" w:cs="Verdana"/>
        </w:rPr>
        <w:t xml:space="preserve"> jurisdiction of the High Court on question whether the plaintiffs have paid adequate Court-fee on the plaint or not.9</w:t>
      </w:r>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1. Masjid </w:t>
      </w:r>
      <w:proofErr w:type="spellStart"/>
      <w:r w:rsidRPr="007C3A0B">
        <w:rPr>
          <w:rFonts w:ascii="Century Gothic" w:hAnsi="Century Gothic" w:cs="Verdana"/>
        </w:rPr>
        <w:t>Kacha</w:t>
      </w:r>
      <w:proofErr w:type="spellEnd"/>
      <w:r w:rsidRPr="007C3A0B">
        <w:rPr>
          <w:rFonts w:ascii="Century Gothic" w:hAnsi="Century Gothic" w:cs="Verdana"/>
        </w:rPr>
        <w:t xml:space="preserve"> Tank </w:t>
      </w:r>
      <w:proofErr w:type="spellStart"/>
      <w:r w:rsidRPr="007C3A0B">
        <w:rPr>
          <w:rFonts w:ascii="Century Gothic" w:hAnsi="Century Gothic" w:cs="Verdana"/>
        </w:rPr>
        <w:t>Nahan</w:t>
      </w:r>
      <w:proofErr w:type="spellEnd"/>
      <w:r w:rsidRPr="007C3A0B">
        <w:rPr>
          <w:rFonts w:ascii="Century Gothic" w:hAnsi="Century Gothic" w:cs="Verdana"/>
        </w:rPr>
        <w:t xml:space="preserve"> v. </w:t>
      </w:r>
      <w:proofErr w:type="spellStart"/>
      <w:r w:rsidRPr="007C3A0B">
        <w:rPr>
          <w:rFonts w:ascii="Century Gothic" w:hAnsi="Century Gothic" w:cs="Verdana"/>
        </w:rPr>
        <w:t>Tuffail</w:t>
      </w:r>
      <w:proofErr w:type="spellEnd"/>
      <w:r w:rsidRPr="007C3A0B">
        <w:rPr>
          <w:rFonts w:ascii="Century Gothic" w:hAnsi="Century Gothic" w:cs="Verdana"/>
        </w:rPr>
        <w:t xml:space="preserve"> Mohammad, A.I.R. 1991 S.C. 45.</w:t>
      </w:r>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2. </w:t>
      </w:r>
      <w:proofErr w:type="spellStart"/>
      <w:r w:rsidRPr="007C3A0B">
        <w:rPr>
          <w:rFonts w:ascii="Century Gothic" w:hAnsi="Century Gothic" w:cs="Verdana"/>
        </w:rPr>
        <w:t>Johri</w:t>
      </w:r>
      <w:proofErr w:type="spellEnd"/>
      <w:r w:rsidRPr="007C3A0B">
        <w:rPr>
          <w:rFonts w:ascii="Century Gothic" w:hAnsi="Century Gothic" w:cs="Verdana"/>
        </w:rPr>
        <w:t xml:space="preserve"> Singh v. </w:t>
      </w:r>
      <w:proofErr w:type="spellStart"/>
      <w:r w:rsidRPr="007C3A0B">
        <w:rPr>
          <w:rFonts w:ascii="Century Gothic" w:hAnsi="Century Gothic" w:cs="Verdana"/>
        </w:rPr>
        <w:t>Sukh</w:t>
      </w:r>
      <w:proofErr w:type="spellEnd"/>
      <w:r w:rsidRPr="007C3A0B">
        <w:rPr>
          <w:rFonts w:ascii="Century Gothic" w:hAnsi="Century Gothic" w:cs="Verdana"/>
        </w:rPr>
        <w:t xml:space="preserve"> Pal Singh, A.I.R. 1989 Supreme Court 2073: 1989 (3) J. T. 582: 1989 Supp. (1) S.C. R. 17: 1989 (4) S.C.C. 403.</w:t>
      </w:r>
    </w:p>
    <w:p w:rsidR="00857CC8" w:rsidRPr="007C3A0B" w:rsidRDefault="00857CC8" w:rsidP="007C3A0B">
      <w:pPr>
        <w:pStyle w:val="NormalWeb"/>
        <w:spacing w:line="276" w:lineRule="auto"/>
        <w:ind w:left="1440"/>
        <w:rPr>
          <w:rFonts w:ascii="Century Gothic" w:hAnsi="Century Gothic" w:cs="Verdana"/>
        </w:rPr>
      </w:pPr>
      <w:proofErr w:type="gramStart"/>
      <w:r w:rsidRPr="007C3A0B">
        <w:rPr>
          <w:rFonts w:ascii="Century Gothic" w:hAnsi="Century Gothic" w:cs="Verdana"/>
        </w:rPr>
        <w:t xml:space="preserve">3. </w:t>
      </w:r>
      <w:proofErr w:type="spellStart"/>
      <w:r w:rsidRPr="007C3A0B">
        <w:rPr>
          <w:rFonts w:ascii="Century Gothic" w:hAnsi="Century Gothic" w:cs="Verdana"/>
        </w:rPr>
        <w:t>Rai</w:t>
      </w:r>
      <w:proofErr w:type="spellEnd"/>
      <w:r w:rsidRPr="007C3A0B">
        <w:rPr>
          <w:rFonts w:ascii="Century Gothic" w:hAnsi="Century Gothic" w:cs="Verdana"/>
        </w:rPr>
        <w:t xml:space="preserve"> Chand Jain v. Chandra </w:t>
      </w:r>
      <w:proofErr w:type="spellStart"/>
      <w:r w:rsidRPr="007C3A0B">
        <w:rPr>
          <w:rFonts w:ascii="Century Gothic" w:hAnsi="Century Gothic" w:cs="Verdana"/>
        </w:rPr>
        <w:t>Kanta</w:t>
      </w:r>
      <w:proofErr w:type="spellEnd"/>
      <w:r w:rsidRPr="007C3A0B">
        <w:rPr>
          <w:rFonts w:ascii="Century Gothic" w:hAnsi="Century Gothic" w:cs="Verdana"/>
        </w:rPr>
        <w:t xml:space="preserve"> </w:t>
      </w:r>
      <w:proofErr w:type="spellStart"/>
      <w:r w:rsidRPr="007C3A0B">
        <w:rPr>
          <w:rFonts w:ascii="Century Gothic" w:hAnsi="Century Gothic" w:cs="Verdana"/>
        </w:rPr>
        <w:t>Khosla</w:t>
      </w:r>
      <w:proofErr w:type="spellEnd"/>
      <w:r w:rsidRPr="007C3A0B">
        <w:rPr>
          <w:rFonts w:ascii="Century Gothic" w:hAnsi="Century Gothic" w:cs="Verdana"/>
        </w:rPr>
        <w:t>, A.I.R. 1991 Supreme Court 744: 1991 (1) S.C.C. 422: 1990 (4) J. T. 638.</w:t>
      </w:r>
      <w:proofErr w:type="gramEnd"/>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4. </w:t>
      </w:r>
      <w:proofErr w:type="spellStart"/>
      <w:r w:rsidRPr="007C3A0B">
        <w:rPr>
          <w:rFonts w:ascii="Century Gothic" w:hAnsi="Century Gothic" w:cs="Verdana"/>
        </w:rPr>
        <w:t>Chandmal</w:t>
      </w:r>
      <w:proofErr w:type="spellEnd"/>
      <w:r w:rsidRPr="007C3A0B">
        <w:rPr>
          <w:rFonts w:ascii="Century Gothic" w:hAnsi="Century Gothic" w:cs="Verdana"/>
        </w:rPr>
        <w:t xml:space="preserve"> v. Firm Ram Chandra and </w:t>
      </w:r>
      <w:proofErr w:type="spellStart"/>
      <w:r w:rsidRPr="007C3A0B">
        <w:rPr>
          <w:rFonts w:ascii="Century Gothic" w:hAnsi="Century Gothic" w:cs="Verdana"/>
        </w:rPr>
        <w:t>Vishwanath</w:t>
      </w:r>
      <w:proofErr w:type="spellEnd"/>
      <w:r w:rsidRPr="007C3A0B">
        <w:rPr>
          <w:rFonts w:ascii="Century Gothic" w:hAnsi="Century Gothic" w:cs="Verdana"/>
        </w:rPr>
        <w:t>, A.I.R. 1991 Supreme Court 1594: 1991 A.I.R. S.C. W. 1568: 1991 (2) J. T. 553: 1991 (3) S.C.C. 130.</w:t>
      </w:r>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5. </w:t>
      </w:r>
      <w:proofErr w:type="spellStart"/>
      <w:r w:rsidRPr="007C3A0B">
        <w:rPr>
          <w:rFonts w:ascii="Century Gothic" w:hAnsi="Century Gothic" w:cs="Verdana"/>
        </w:rPr>
        <w:t>Chunnilal</w:t>
      </w:r>
      <w:proofErr w:type="spellEnd"/>
      <w:r w:rsidRPr="007C3A0B">
        <w:rPr>
          <w:rFonts w:ascii="Century Gothic" w:hAnsi="Century Gothic" w:cs="Verdana"/>
        </w:rPr>
        <w:t xml:space="preserve"> v. </w:t>
      </w:r>
      <w:proofErr w:type="spellStart"/>
      <w:r w:rsidRPr="007C3A0B">
        <w:rPr>
          <w:rFonts w:ascii="Century Gothic" w:hAnsi="Century Gothic" w:cs="Verdana"/>
        </w:rPr>
        <w:t>Shanta</w:t>
      </w:r>
      <w:proofErr w:type="spellEnd"/>
      <w:r w:rsidRPr="007C3A0B">
        <w:rPr>
          <w:rFonts w:ascii="Century Gothic" w:hAnsi="Century Gothic" w:cs="Verdana"/>
        </w:rPr>
        <w:t xml:space="preserve"> Devi, AIR 2001 Raj. 76.</w:t>
      </w:r>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6. </w:t>
      </w:r>
      <w:proofErr w:type="spellStart"/>
      <w:r w:rsidRPr="007C3A0B">
        <w:rPr>
          <w:rFonts w:ascii="Century Gothic" w:hAnsi="Century Gothic" w:cs="Verdana"/>
        </w:rPr>
        <w:t>Golikota</w:t>
      </w:r>
      <w:proofErr w:type="spellEnd"/>
      <w:r w:rsidRPr="007C3A0B">
        <w:rPr>
          <w:rFonts w:ascii="Century Gothic" w:hAnsi="Century Gothic" w:cs="Verdana"/>
        </w:rPr>
        <w:t xml:space="preserve"> Reddy v. </w:t>
      </w:r>
      <w:proofErr w:type="spellStart"/>
      <w:r w:rsidRPr="007C3A0B">
        <w:rPr>
          <w:rFonts w:ascii="Century Gothic" w:hAnsi="Century Gothic" w:cs="Verdana"/>
        </w:rPr>
        <w:t>Goli</w:t>
      </w:r>
      <w:proofErr w:type="spellEnd"/>
      <w:r w:rsidRPr="007C3A0B">
        <w:rPr>
          <w:rFonts w:ascii="Century Gothic" w:hAnsi="Century Gothic" w:cs="Verdana"/>
        </w:rPr>
        <w:t xml:space="preserve"> Raja </w:t>
      </w:r>
      <w:proofErr w:type="spellStart"/>
      <w:r w:rsidRPr="007C3A0B">
        <w:rPr>
          <w:rFonts w:ascii="Century Gothic" w:hAnsi="Century Gothic" w:cs="Verdana"/>
        </w:rPr>
        <w:t>Gopala</w:t>
      </w:r>
      <w:proofErr w:type="spellEnd"/>
      <w:r w:rsidRPr="007C3A0B">
        <w:rPr>
          <w:rFonts w:ascii="Century Gothic" w:hAnsi="Century Gothic" w:cs="Verdana"/>
        </w:rPr>
        <w:t xml:space="preserve"> Reddy, AIR 2001 AP 110.</w:t>
      </w:r>
    </w:p>
    <w:p w:rsidR="00857CC8" w:rsidRPr="007C3A0B" w:rsidRDefault="00857CC8" w:rsidP="007C3A0B">
      <w:pPr>
        <w:pStyle w:val="NormalWeb"/>
        <w:spacing w:line="276" w:lineRule="auto"/>
        <w:ind w:left="1440"/>
        <w:rPr>
          <w:rFonts w:ascii="Century Gothic" w:hAnsi="Century Gothic" w:cs="Verdana"/>
        </w:rPr>
      </w:pPr>
      <w:proofErr w:type="gramStart"/>
      <w:r w:rsidRPr="007C3A0B">
        <w:rPr>
          <w:rFonts w:ascii="Century Gothic" w:hAnsi="Century Gothic" w:cs="Verdana"/>
        </w:rPr>
        <w:t xml:space="preserve">7. S. </w:t>
      </w:r>
      <w:proofErr w:type="spellStart"/>
      <w:r w:rsidRPr="007C3A0B">
        <w:rPr>
          <w:rFonts w:ascii="Century Gothic" w:hAnsi="Century Gothic" w:cs="Verdana"/>
        </w:rPr>
        <w:t>Selvarathinam</w:t>
      </w:r>
      <w:proofErr w:type="spellEnd"/>
      <w:r w:rsidRPr="007C3A0B">
        <w:rPr>
          <w:rFonts w:ascii="Century Gothic" w:hAnsi="Century Gothic" w:cs="Verdana"/>
        </w:rPr>
        <w:t xml:space="preserve"> v. </w:t>
      </w:r>
      <w:proofErr w:type="spellStart"/>
      <w:r w:rsidRPr="007C3A0B">
        <w:rPr>
          <w:rFonts w:ascii="Century Gothic" w:hAnsi="Century Gothic" w:cs="Verdana"/>
        </w:rPr>
        <w:t>Rajasekharan</w:t>
      </w:r>
      <w:proofErr w:type="spellEnd"/>
      <w:r w:rsidRPr="007C3A0B">
        <w:rPr>
          <w:rFonts w:ascii="Century Gothic" w:hAnsi="Century Gothic" w:cs="Verdana"/>
        </w:rPr>
        <w:t xml:space="preserve"> Nair, AIR 2001 Kerala 1.</w:t>
      </w:r>
      <w:proofErr w:type="gramEnd"/>
    </w:p>
    <w:p w:rsidR="00857CC8"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8. Caps &amp; Containers v. Bank of Baroda, 2001 (1) CCC 56 (</w:t>
      </w:r>
      <w:proofErr w:type="spellStart"/>
      <w:r w:rsidRPr="007C3A0B">
        <w:rPr>
          <w:rFonts w:ascii="Century Gothic" w:hAnsi="Century Gothic" w:cs="Verdana"/>
        </w:rPr>
        <w:t>Guj</w:t>
      </w:r>
      <w:proofErr w:type="spellEnd"/>
      <w:proofErr w:type="gramStart"/>
      <w:r w:rsidRPr="007C3A0B">
        <w:rPr>
          <w:rFonts w:ascii="Century Gothic" w:hAnsi="Century Gothic" w:cs="Verdana"/>
        </w:rPr>
        <w:t>. )</w:t>
      </w:r>
      <w:proofErr w:type="gramEnd"/>
      <w:r w:rsidRPr="007C3A0B">
        <w:rPr>
          <w:rFonts w:ascii="Century Gothic" w:hAnsi="Century Gothic" w:cs="Verdana"/>
        </w:rPr>
        <w:t>.</w:t>
      </w:r>
    </w:p>
    <w:p w:rsidR="00B942F0" w:rsidRPr="007C3A0B" w:rsidRDefault="00857CC8" w:rsidP="007C3A0B">
      <w:pPr>
        <w:pStyle w:val="NormalWeb"/>
        <w:spacing w:line="276" w:lineRule="auto"/>
        <w:ind w:left="1440"/>
        <w:rPr>
          <w:rFonts w:ascii="Century Gothic" w:hAnsi="Century Gothic" w:cs="Verdana"/>
        </w:rPr>
      </w:pPr>
      <w:r w:rsidRPr="007C3A0B">
        <w:rPr>
          <w:rFonts w:ascii="Century Gothic" w:hAnsi="Century Gothic" w:cs="Verdana"/>
        </w:rPr>
        <w:t xml:space="preserve">9. </w:t>
      </w:r>
      <w:proofErr w:type="spellStart"/>
      <w:r w:rsidRPr="007C3A0B">
        <w:rPr>
          <w:rFonts w:ascii="Century Gothic" w:hAnsi="Century Gothic" w:cs="Verdana"/>
        </w:rPr>
        <w:t>Sundarrajan</w:t>
      </w:r>
      <w:proofErr w:type="spellEnd"/>
      <w:r w:rsidRPr="007C3A0B">
        <w:rPr>
          <w:rFonts w:ascii="Century Gothic" w:hAnsi="Century Gothic" w:cs="Verdana"/>
        </w:rPr>
        <w:t xml:space="preserve"> v. </w:t>
      </w:r>
      <w:proofErr w:type="spellStart"/>
      <w:r w:rsidRPr="007C3A0B">
        <w:rPr>
          <w:rFonts w:ascii="Century Gothic" w:hAnsi="Century Gothic" w:cs="Verdana"/>
        </w:rPr>
        <w:t>Vellai</w:t>
      </w:r>
      <w:proofErr w:type="spellEnd"/>
      <w:r w:rsidRPr="007C3A0B">
        <w:rPr>
          <w:rFonts w:ascii="Century Gothic" w:hAnsi="Century Gothic" w:cs="Verdana"/>
        </w:rPr>
        <w:t xml:space="preserve"> </w:t>
      </w:r>
      <w:proofErr w:type="spellStart"/>
      <w:r w:rsidRPr="007C3A0B">
        <w:rPr>
          <w:rFonts w:ascii="Century Gothic" w:hAnsi="Century Gothic" w:cs="Verdana"/>
        </w:rPr>
        <w:t>Vinayagar</w:t>
      </w:r>
      <w:proofErr w:type="spellEnd"/>
      <w:r w:rsidRPr="007C3A0B">
        <w:rPr>
          <w:rFonts w:ascii="Century Gothic" w:hAnsi="Century Gothic" w:cs="Verdana"/>
        </w:rPr>
        <w:t xml:space="preserve"> </w:t>
      </w:r>
      <w:proofErr w:type="spellStart"/>
      <w:r w:rsidRPr="007C3A0B">
        <w:rPr>
          <w:rFonts w:ascii="Century Gothic" w:hAnsi="Century Gothic" w:cs="Verdana"/>
        </w:rPr>
        <w:t>Koil</w:t>
      </w:r>
      <w:proofErr w:type="spellEnd"/>
      <w:r w:rsidRPr="007C3A0B">
        <w:rPr>
          <w:rFonts w:ascii="Century Gothic" w:hAnsi="Century Gothic" w:cs="Verdana"/>
        </w:rPr>
        <w:t>, AIR 2001 Mad. 110.</w:t>
      </w:r>
      <w:bookmarkEnd w:id="0"/>
    </w:p>
    <w:sectPr w:rsidR="00B942F0" w:rsidRPr="007C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E8"/>
    <w:rsid w:val="007C3A0B"/>
    <w:rsid w:val="007F7CBF"/>
    <w:rsid w:val="00857CC8"/>
    <w:rsid w:val="008873E8"/>
    <w:rsid w:val="008A7315"/>
    <w:rsid w:val="00927DA6"/>
    <w:rsid w:val="00B55524"/>
    <w:rsid w:val="00B942F0"/>
    <w:rsid w:val="00C326C6"/>
    <w:rsid w:val="00C95773"/>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C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C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15%20C%20P%20C%20REVISION%20IN%20DISTRICT%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115 C P C REVISION IN DISTRICT COURT</Template>
  <TotalTime>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2024-06-15T12:19:00Z</dcterms:created>
  <dcterms:modified xsi:type="dcterms:W3CDTF">2024-06-15T12:19:00Z</dcterms:modified>
</cp:coreProperties>
</file>