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35" w:rsidRPr="0029384F" w:rsidRDefault="00D91A35" w:rsidP="0029384F">
      <w:pPr>
        <w:pStyle w:val="NormalWeb"/>
        <w:spacing w:line="276" w:lineRule="auto"/>
        <w:rPr>
          <w:rFonts w:ascii="Century Gothic" w:hAnsi="Century Gothic" w:cs="Verdana"/>
          <w:b/>
          <w:bCs/>
          <w:szCs w:val="21"/>
        </w:rPr>
      </w:pPr>
      <w:bookmarkStart w:id="0" w:name="_GoBack"/>
      <w:proofErr w:type="gramStart"/>
      <w:r w:rsidRPr="0029384F">
        <w:rPr>
          <w:rFonts w:ascii="Century Gothic" w:hAnsi="Century Gothic" w:cs="Verdana"/>
          <w:b/>
          <w:bCs/>
          <w:szCs w:val="21"/>
        </w:rPr>
        <w:t>APPLICATION UNDER SECTION 146 OF C. P. C.</w:t>
      </w:r>
      <w:proofErr w:type="gramEnd"/>
    </w:p>
    <w:p w:rsidR="00D91A35" w:rsidRPr="0029384F" w:rsidRDefault="00D91A35" w:rsidP="0029384F">
      <w:pPr>
        <w:pStyle w:val="NormalWeb"/>
        <w:spacing w:line="276" w:lineRule="auto"/>
        <w:rPr>
          <w:rFonts w:ascii="Century Gothic" w:hAnsi="Century Gothic" w:cs="Verdana"/>
          <w:szCs w:val="21"/>
        </w:rPr>
      </w:pPr>
      <w:r w:rsidRPr="0029384F">
        <w:rPr>
          <w:rFonts w:ascii="Century Gothic" w:hAnsi="Century Gothic" w:cs="Verdana"/>
          <w:szCs w:val="21"/>
        </w:rPr>
        <w:t>APPLICATION TO EXECUTE A DECREE AGAINST THE LEGAL REPRESENTATIVES OF DECEASED JUDGMENT DEBTOR</w:t>
      </w:r>
    </w:p>
    <w:p w:rsidR="00D91A35" w:rsidRPr="0029384F" w:rsidRDefault="00D91A35" w:rsidP="0029384F">
      <w:pPr>
        <w:pStyle w:val="NormalWeb"/>
        <w:spacing w:line="276" w:lineRule="auto"/>
        <w:rPr>
          <w:rFonts w:ascii="Century Gothic" w:hAnsi="Century Gothic" w:cs="Verdana"/>
          <w:szCs w:val="21"/>
        </w:rPr>
      </w:pPr>
      <w:r w:rsidRPr="0029384F">
        <w:rPr>
          <w:rFonts w:ascii="Century Gothic" w:hAnsi="Century Gothic" w:cs="Verdana"/>
          <w:szCs w:val="21"/>
        </w:rPr>
        <w:t>IN THE COURT OF THE....................</w:t>
      </w:r>
    </w:p>
    <w:p w:rsidR="00D91A35" w:rsidRPr="0029384F" w:rsidRDefault="00D91A35" w:rsidP="0029384F">
      <w:pPr>
        <w:pStyle w:val="NormalWeb"/>
        <w:spacing w:line="276" w:lineRule="auto"/>
        <w:rPr>
          <w:rFonts w:ascii="Century Gothic" w:hAnsi="Century Gothic" w:cs="Verdana"/>
          <w:szCs w:val="21"/>
        </w:rPr>
      </w:pPr>
      <w:r w:rsidRPr="0029384F">
        <w:rPr>
          <w:rFonts w:ascii="Century Gothic" w:hAnsi="Century Gothic" w:cs="Verdana"/>
          <w:szCs w:val="21"/>
        </w:rPr>
        <w:t xml:space="preserve">Misc. Application.................... </w:t>
      </w:r>
      <w:proofErr w:type="gramStart"/>
      <w:r w:rsidRPr="0029384F">
        <w:rPr>
          <w:rFonts w:ascii="Century Gothic" w:hAnsi="Century Gothic" w:cs="Verdana"/>
          <w:szCs w:val="21"/>
        </w:rPr>
        <w:t>of</w:t>
      </w:r>
      <w:proofErr w:type="gramEnd"/>
      <w:r w:rsidRPr="0029384F">
        <w:rPr>
          <w:rFonts w:ascii="Century Gothic" w:hAnsi="Century Gothic" w:cs="Verdana"/>
          <w:szCs w:val="21"/>
        </w:rPr>
        <w:t>.................. 19..........</w:t>
      </w:r>
    </w:p>
    <w:p w:rsidR="00D91A35" w:rsidRPr="0029384F" w:rsidRDefault="00D91A35" w:rsidP="0029384F">
      <w:pPr>
        <w:pStyle w:val="NormalWeb"/>
        <w:spacing w:line="276" w:lineRule="auto"/>
        <w:rPr>
          <w:rFonts w:ascii="Century Gothic" w:hAnsi="Century Gothic" w:cs="Verdana"/>
          <w:szCs w:val="21"/>
        </w:rPr>
      </w:pPr>
      <w:r w:rsidRPr="0029384F">
        <w:rPr>
          <w:rFonts w:ascii="Century Gothic" w:hAnsi="Century Gothic" w:cs="Verdana"/>
          <w:szCs w:val="21"/>
        </w:rPr>
        <w:t>Under Section 146 C. P. C.</w:t>
      </w:r>
    </w:p>
    <w:p w:rsidR="00D91A35" w:rsidRPr="0029384F" w:rsidRDefault="00D91A35" w:rsidP="0029384F">
      <w:pPr>
        <w:pStyle w:val="NormalWeb"/>
        <w:spacing w:line="276" w:lineRule="auto"/>
        <w:jc w:val="center"/>
        <w:rPr>
          <w:rFonts w:ascii="Century Gothic" w:hAnsi="Century Gothic" w:cs="Verdana"/>
          <w:szCs w:val="21"/>
        </w:rPr>
      </w:pPr>
      <w:proofErr w:type="gramStart"/>
      <w:r w:rsidRPr="0029384F">
        <w:rPr>
          <w:rFonts w:ascii="Century Gothic" w:hAnsi="Century Gothic" w:cs="Verdana"/>
          <w:szCs w:val="21"/>
        </w:rPr>
        <w:t>in</w:t>
      </w:r>
      <w:proofErr w:type="gramEnd"/>
      <w:r w:rsidRPr="0029384F">
        <w:rPr>
          <w:rFonts w:ascii="Century Gothic" w:hAnsi="Century Gothic" w:cs="Verdana"/>
          <w:szCs w:val="21"/>
        </w:rPr>
        <w:t xml:space="preserve"> </w:t>
      </w:r>
    </w:p>
    <w:p w:rsidR="00D91A35" w:rsidRPr="0029384F" w:rsidRDefault="00D91A35" w:rsidP="0029384F">
      <w:pPr>
        <w:pStyle w:val="NormalWeb"/>
        <w:spacing w:line="276" w:lineRule="auto"/>
        <w:rPr>
          <w:rFonts w:ascii="Century Gothic" w:hAnsi="Century Gothic" w:cs="Verdana"/>
          <w:szCs w:val="21"/>
        </w:rPr>
      </w:pPr>
      <w:r w:rsidRPr="0029384F">
        <w:rPr>
          <w:rFonts w:ascii="Century Gothic" w:hAnsi="Century Gothic" w:cs="Verdana"/>
          <w:szCs w:val="21"/>
        </w:rPr>
        <w:t>Execution No........... of........... 19....................</w:t>
      </w:r>
    </w:p>
    <w:p w:rsidR="00D91A35" w:rsidRPr="0029384F" w:rsidRDefault="00D91A35" w:rsidP="0029384F">
      <w:pPr>
        <w:pStyle w:val="NormalWeb"/>
        <w:spacing w:line="276" w:lineRule="auto"/>
        <w:jc w:val="center"/>
        <w:rPr>
          <w:rFonts w:ascii="Century Gothic" w:hAnsi="Century Gothic" w:cs="Verdana"/>
          <w:szCs w:val="21"/>
        </w:rPr>
      </w:pPr>
      <w:r w:rsidRPr="0029384F">
        <w:rPr>
          <w:rFonts w:ascii="Century Gothic" w:hAnsi="Century Gothic" w:cs="Verdana"/>
          <w:szCs w:val="21"/>
        </w:rPr>
        <w:t xml:space="preserve">A. B....................................................... </w:t>
      </w:r>
      <w:proofErr w:type="gramStart"/>
      <w:r w:rsidRPr="0029384F">
        <w:rPr>
          <w:rFonts w:ascii="Century Gothic" w:hAnsi="Century Gothic" w:cs="Verdana"/>
          <w:szCs w:val="21"/>
        </w:rPr>
        <w:t>Decree-Holder.</w:t>
      </w:r>
      <w:proofErr w:type="gramEnd"/>
    </w:p>
    <w:p w:rsidR="00D91A35" w:rsidRPr="0029384F" w:rsidRDefault="00D91A35" w:rsidP="0029384F">
      <w:pPr>
        <w:pStyle w:val="NormalWeb"/>
        <w:spacing w:line="276" w:lineRule="auto"/>
        <w:jc w:val="center"/>
        <w:rPr>
          <w:rFonts w:ascii="Century Gothic" w:hAnsi="Century Gothic" w:cs="Verdana"/>
          <w:i/>
          <w:iCs/>
          <w:szCs w:val="21"/>
        </w:rPr>
      </w:pPr>
      <w:proofErr w:type="gramStart"/>
      <w:r w:rsidRPr="0029384F">
        <w:rPr>
          <w:rFonts w:ascii="Century Gothic" w:hAnsi="Century Gothic" w:cs="Verdana"/>
          <w:i/>
          <w:iCs/>
          <w:szCs w:val="21"/>
        </w:rPr>
        <w:t>versus</w:t>
      </w:r>
      <w:proofErr w:type="gramEnd"/>
      <w:r w:rsidRPr="0029384F">
        <w:rPr>
          <w:rFonts w:ascii="Century Gothic" w:hAnsi="Century Gothic" w:cs="Verdana"/>
          <w:i/>
          <w:iCs/>
          <w:szCs w:val="21"/>
        </w:rPr>
        <w:t xml:space="preserve"> </w:t>
      </w:r>
    </w:p>
    <w:p w:rsidR="00D91A35" w:rsidRPr="0029384F" w:rsidRDefault="00D91A35" w:rsidP="0029384F">
      <w:pPr>
        <w:pStyle w:val="NormalWeb"/>
        <w:spacing w:line="276" w:lineRule="auto"/>
        <w:jc w:val="center"/>
        <w:rPr>
          <w:rFonts w:ascii="Century Gothic" w:hAnsi="Century Gothic" w:cs="Verdana"/>
          <w:szCs w:val="21"/>
        </w:rPr>
      </w:pPr>
      <w:r w:rsidRPr="0029384F">
        <w:rPr>
          <w:rFonts w:ascii="Century Gothic" w:hAnsi="Century Gothic" w:cs="Verdana"/>
          <w:szCs w:val="21"/>
        </w:rPr>
        <w:t xml:space="preserve">C. D................................................. </w:t>
      </w:r>
      <w:proofErr w:type="gramStart"/>
      <w:r w:rsidRPr="0029384F">
        <w:rPr>
          <w:rFonts w:ascii="Century Gothic" w:hAnsi="Century Gothic" w:cs="Verdana"/>
          <w:szCs w:val="21"/>
        </w:rPr>
        <w:t>Judgment Debtors.</w:t>
      </w:r>
      <w:proofErr w:type="gramEnd"/>
    </w:p>
    <w:p w:rsidR="00D91A35" w:rsidRPr="0029384F" w:rsidRDefault="00D91A35" w:rsidP="0029384F">
      <w:pPr>
        <w:pStyle w:val="NormalWeb"/>
        <w:spacing w:line="276" w:lineRule="auto"/>
        <w:rPr>
          <w:rFonts w:ascii="Century Gothic" w:hAnsi="Century Gothic" w:cs="Verdana"/>
          <w:szCs w:val="21"/>
        </w:rPr>
      </w:pPr>
      <w:r w:rsidRPr="0029384F">
        <w:rPr>
          <w:rFonts w:ascii="Century Gothic" w:hAnsi="Century Gothic" w:cs="Verdana"/>
          <w:szCs w:val="21"/>
        </w:rPr>
        <w:t>The Decree-holder most respectfully submits as under:</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 xml:space="preserve">1. That the judgment debtor </w:t>
      </w:r>
      <w:proofErr w:type="spellStart"/>
      <w:r w:rsidRPr="0029384F">
        <w:rPr>
          <w:rFonts w:ascii="Century Gothic" w:hAnsi="Century Gothic" w:cs="Verdana"/>
          <w:szCs w:val="21"/>
        </w:rPr>
        <w:t>Shri</w:t>
      </w:r>
      <w:proofErr w:type="spellEnd"/>
      <w:r w:rsidRPr="0029384F">
        <w:rPr>
          <w:rFonts w:ascii="Century Gothic" w:hAnsi="Century Gothic" w:cs="Verdana"/>
          <w:szCs w:val="21"/>
        </w:rPr>
        <w:t xml:space="preserve">.................... </w:t>
      </w:r>
      <w:proofErr w:type="gramStart"/>
      <w:r w:rsidRPr="0029384F">
        <w:rPr>
          <w:rFonts w:ascii="Century Gothic" w:hAnsi="Century Gothic" w:cs="Verdana"/>
          <w:szCs w:val="21"/>
        </w:rPr>
        <w:t>of</w:t>
      </w:r>
      <w:proofErr w:type="gramEnd"/>
      <w:r w:rsidRPr="0029384F">
        <w:rPr>
          <w:rFonts w:ascii="Century Gothic" w:hAnsi="Century Gothic" w:cs="Verdana"/>
          <w:szCs w:val="21"/>
        </w:rPr>
        <w:t xml:space="preserve"> the decree aforementioned died on.................... 19.................... and his property </w:t>
      </w:r>
      <w:proofErr w:type="gramStart"/>
      <w:r w:rsidRPr="0029384F">
        <w:rPr>
          <w:rFonts w:ascii="Century Gothic" w:hAnsi="Century Gothic" w:cs="Verdana"/>
          <w:szCs w:val="21"/>
        </w:rPr>
        <w:t>has</w:t>
      </w:r>
      <w:proofErr w:type="gramEnd"/>
      <w:r w:rsidRPr="0029384F">
        <w:rPr>
          <w:rFonts w:ascii="Century Gothic" w:hAnsi="Century Gothic" w:cs="Verdana"/>
          <w:szCs w:val="21"/>
        </w:rPr>
        <w:t xml:space="preserve"> come in the hands of his legal representatives, the Opposite Parties, being the sons of the original judgment debtor.</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2. That it is expedient that the decree may be executed against the opposite parties, the legal representatives of the original judgment debtor.</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 xml:space="preserve">3. That the Opposite Parties may be called for deposit of the </w:t>
      </w:r>
      <w:proofErr w:type="spellStart"/>
      <w:r w:rsidRPr="0029384F">
        <w:rPr>
          <w:rFonts w:ascii="Century Gothic" w:hAnsi="Century Gothic" w:cs="Verdana"/>
          <w:szCs w:val="21"/>
        </w:rPr>
        <w:t>decreetal</w:t>
      </w:r>
      <w:proofErr w:type="spellEnd"/>
      <w:r w:rsidRPr="0029384F">
        <w:rPr>
          <w:rFonts w:ascii="Century Gothic" w:hAnsi="Century Gothic" w:cs="Verdana"/>
          <w:szCs w:val="21"/>
        </w:rPr>
        <w:t xml:space="preserve"> amount in Court and satisfy the decree.</w:t>
      </w:r>
    </w:p>
    <w:p w:rsidR="00D91A35" w:rsidRPr="0029384F" w:rsidRDefault="00D91A35" w:rsidP="0029384F">
      <w:pPr>
        <w:pStyle w:val="NormalWeb"/>
        <w:spacing w:line="276" w:lineRule="auto"/>
        <w:jc w:val="center"/>
        <w:rPr>
          <w:rFonts w:ascii="Century Gothic" w:hAnsi="Century Gothic" w:cs="Verdana"/>
          <w:b/>
          <w:bCs/>
          <w:szCs w:val="21"/>
        </w:rPr>
      </w:pPr>
      <w:r w:rsidRPr="0029384F">
        <w:rPr>
          <w:rFonts w:ascii="Century Gothic" w:hAnsi="Century Gothic" w:cs="Verdana"/>
          <w:b/>
          <w:bCs/>
          <w:szCs w:val="21"/>
        </w:rPr>
        <w:t>PRAYER</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 xml:space="preserve">It is, therefore, most respectfully prayed that your </w:t>
      </w:r>
      <w:proofErr w:type="spellStart"/>
      <w:r w:rsidRPr="0029384F">
        <w:rPr>
          <w:rFonts w:ascii="Century Gothic" w:hAnsi="Century Gothic" w:cs="Verdana"/>
          <w:szCs w:val="21"/>
        </w:rPr>
        <w:t>Hon’our</w:t>
      </w:r>
      <w:proofErr w:type="spellEnd"/>
      <w:r w:rsidRPr="0029384F">
        <w:rPr>
          <w:rFonts w:ascii="Century Gothic" w:hAnsi="Century Gothic" w:cs="Verdana"/>
          <w:szCs w:val="21"/>
        </w:rPr>
        <w:t xml:space="preserve"> may be pleased to summon the opposite parties and order them to deposit the </w:t>
      </w:r>
      <w:proofErr w:type="spellStart"/>
      <w:r w:rsidRPr="0029384F">
        <w:rPr>
          <w:rFonts w:ascii="Century Gothic" w:hAnsi="Century Gothic" w:cs="Verdana"/>
          <w:szCs w:val="21"/>
        </w:rPr>
        <w:t>decreetal</w:t>
      </w:r>
      <w:proofErr w:type="spellEnd"/>
      <w:r w:rsidRPr="0029384F">
        <w:rPr>
          <w:rFonts w:ascii="Century Gothic" w:hAnsi="Century Gothic" w:cs="Verdana"/>
          <w:szCs w:val="21"/>
        </w:rPr>
        <w:t xml:space="preserve"> amount in Court.</w:t>
      </w:r>
    </w:p>
    <w:p w:rsidR="00D91A35" w:rsidRPr="0029384F" w:rsidRDefault="00D91A35" w:rsidP="0029384F">
      <w:pPr>
        <w:pStyle w:val="NormalWeb"/>
        <w:spacing w:line="276" w:lineRule="auto"/>
        <w:jc w:val="right"/>
        <w:rPr>
          <w:rFonts w:ascii="Century Gothic" w:hAnsi="Century Gothic" w:cs="Verdana"/>
          <w:szCs w:val="21"/>
        </w:rPr>
      </w:pPr>
      <w:r w:rsidRPr="0029384F">
        <w:rPr>
          <w:rFonts w:ascii="Century Gothic" w:hAnsi="Century Gothic" w:cs="Verdana"/>
          <w:szCs w:val="21"/>
        </w:rPr>
        <w:t>Dated.................... 19............ Counsel for the Decree-Holders.</w:t>
      </w:r>
    </w:p>
    <w:p w:rsidR="00D91A35" w:rsidRPr="0029384F" w:rsidRDefault="00D91A35" w:rsidP="0029384F">
      <w:pPr>
        <w:pStyle w:val="NormalWeb"/>
        <w:spacing w:line="276" w:lineRule="auto"/>
        <w:jc w:val="center"/>
        <w:rPr>
          <w:rFonts w:ascii="Century Gothic" w:hAnsi="Century Gothic" w:cs="Verdana"/>
          <w:b/>
          <w:bCs/>
          <w:szCs w:val="21"/>
        </w:rPr>
      </w:pPr>
      <w:r w:rsidRPr="0029384F">
        <w:rPr>
          <w:rFonts w:ascii="Century Gothic" w:hAnsi="Century Gothic" w:cs="Verdana"/>
          <w:b/>
          <w:bCs/>
          <w:szCs w:val="21"/>
        </w:rPr>
        <w:lastRenderedPageBreak/>
        <w:t>CASE LAW</w:t>
      </w:r>
    </w:p>
    <w:p w:rsidR="00D91A35" w:rsidRPr="0029384F" w:rsidRDefault="00D91A35" w:rsidP="0029384F">
      <w:pPr>
        <w:pStyle w:val="NormalWeb"/>
        <w:spacing w:line="276" w:lineRule="auto"/>
        <w:jc w:val="both"/>
        <w:rPr>
          <w:rFonts w:ascii="Century Gothic" w:hAnsi="Century Gothic" w:cs="Verdana"/>
          <w:b/>
          <w:bCs/>
          <w:szCs w:val="21"/>
        </w:rPr>
      </w:pPr>
      <w:r w:rsidRPr="0029384F">
        <w:rPr>
          <w:rFonts w:ascii="Century Gothic" w:hAnsi="Century Gothic" w:cs="Verdana"/>
          <w:b/>
          <w:bCs/>
          <w:szCs w:val="21"/>
        </w:rPr>
        <w:t>SCOPE OF THE SECTION</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 xml:space="preserve">This section is introduced in the Code with the object of facilitating the exercise of rights by persons in whom they came to be vested by devolution or assignment. Whether the application for addition of party under this section is filed earlier </w:t>
      </w:r>
      <w:r w:rsidRPr="0029384F">
        <w:rPr>
          <w:rFonts w:ascii="Century Gothic" w:hAnsi="Century Gothic" w:cs="Verdana"/>
          <w:szCs w:val="21"/>
        </w:rPr>
        <w:br/>
        <w:t>or simultaneously, the list is then pending. The only legal order that can be legitimately passed in these circumstances would be to enquire into the application of the transferee and to dispose of the compromise petition thereafter. When after passing the decree and before filing of the appeal against it, the decree holder transfers his interest and the decree-holder, joined as a respondent dies during the pendency of the appeal, the transferee can under this section apply for substitution as a respondent in place of the person already joined as a respondent in place of the person already joined as a legal representative of the deceased decree-holder1.</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 xml:space="preserve">There are various provisions in the Code prescribing or allowing the doing of an act for which time is fixed or granted by the Court. In all such cases the Court has powers under this Section to enlarge the time, even after expiration of the period originally fixed. The time granted by the Court for payment of costs, while setting aside an </w:t>
      </w:r>
      <w:r w:rsidRPr="0029384F">
        <w:rPr>
          <w:rFonts w:ascii="Century Gothic" w:hAnsi="Century Gothic" w:cs="Verdana"/>
          <w:i/>
          <w:iCs/>
          <w:szCs w:val="21"/>
        </w:rPr>
        <w:t xml:space="preserve">ex-parte </w:t>
      </w:r>
      <w:r w:rsidRPr="0029384F">
        <w:rPr>
          <w:rFonts w:ascii="Century Gothic" w:hAnsi="Century Gothic" w:cs="Verdana"/>
          <w:szCs w:val="21"/>
        </w:rPr>
        <w:t>decree, as a condition precedent, is not an act prescribed or allowed by the Code. The section does not apply to such a case. On the other hand, section 151 can however be invoked in such a case2.</w:t>
      </w:r>
    </w:p>
    <w:p w:rsidR="00D91A35" w:rsidRPr="0029384F" w:rsidRDefault="00D91A35" w:rsidP="0029384F">
      <w:pPr>
        <w:pStyle w:val="NormalWeb"/>
        <w:spacing w:line="276" w:lineRule="auto"/>
        <w:jc w:val="both"/>
        <w:rPr>
          <w:rFonts w:ascii="Century Gothic" w:hAnsi="Century Gothic" w:cs="Verdana"/>
          <w:b/>
          <w:bCs/>
          <w:szCs w:val="21"/>
        </w:rPr>
      </w:pPr>
      <w:r w:rsidRPr="0029384F">
        <w:rPr>
          <w:rFonts w:ascii="Century Gothic" w:hAnsi="Century Gothic" w:cs="Verdana"/>
          <w:b/>
          <w:bCs/>
          <w:szCs w:val="21"/>
        </w:rPr>
        <w:t>TRANSFEREE OF PRE-EMPTOR’S RIGHT CAN MAINTAIN APPLICATION FOR EXECUTION.</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A transferee of the pre-emptor’s right in the land which has vested in him by virtue of Order 20, Rule 14, Civil Procedure Code, on compliance of the requirement of payment of the purchase money by the specified date, can maintain an application for execution under Section 146, or Order 21, Rule 16 of the Code3.</w:t>
      </w:r>
    </w:p>
    <w:p w:rsidR="00D91A35" w:rsidRPr="0029384F" w:rsidRDefault="00D91A35" w:rsidP="0029384F">
      <w:pPr>
        <w:pStyle w:val="NormalWeb"/>
        <w:spacing w:line="276" w:lineRule="auto"/>
        <w:jc w:val="both"/>
        <w:rPr>
          <w:rFonts w:ascii="Century Gothic" w:hAnsi="Century Gothic" w:cs="Verdana"/>
          <w:b/>
          <w:bCs/>
          <w:szCs w:val="21"/>
        </w:rPr>
      </w:pPr>
      <w:r w:rsidRPr="0029384F">
        <w:rPr>
          <w:rFonts w:ascii="Century Gothic" w:hAnsi="Century Gothic" w:cs="Verdana"/>
          <w:b/>
          <w:bCs/>
          <w:szCs w:val="21"/>
        </w:rPr>
        <w:t>EXECUTION OF DOCUMENT OF ASSIGNMENT</w:t>
      </w:r>
    </w:p>
    <w:p w:rsidR="00D91A35" w:rsidRPr="0029384F" w:rsidRDefault="00D91A35" w:rsidP="0029384F">
      <w:pPr>
        <w:pStyle w:val="NormalWeb"/>
        <w:spacing w:line="276" w:lineRule="auto"/>
        <w:jc w:val="both"/>
        <w:rPr>
          <w:rFonts w:ascii="Century Gothic" w:hAnsi="Century Gothic" w:cs="Verdana"/>
          <w:szCs w:val="21"/>
        </w:rPr>
      </w:pPr>
      <w:r w:rsidRPr="0029384F">
        <w:rPr>
          <w:rFonts w:ascii="Century Gothic" w:hAnsi="Century Gothic" w:cs="Verdana"/>
          <w:szCs w:val="21"/>
        </w:rPr>
        <w:t xml:space="preserve">Where the document of assignment executed by the decree-holder recited that the assignee will have the capacity of decree-holder-assignee, the same </w:t>
      </w:r>
      <w:r w:rsidRPr="0029384F">
        <w:rPr>
          <w:rFonts w:ascii="Century Gothic" w:hAnsi="Century Gothic" w:cs="Verdana"/>
          <w:szCs w:val="21"/>
        </w:rPr>
        <w:lastRenderedPageBreak/>
        <w:t>leaves no doubt that the parties to the document were aware that certain rights in the property have accrued to the decree-holder and he was transferring those rights to the assignee. Therefore, the parties clearly intended to transfer decree-holders interest in the pre-</w:t>
      </w:r>
      <w:proofErr w:type="spellStart"/>
      <w:r w:rsidRPr="0029384F">
        <w:rPr>
          <w:rFonts w:ascii="Century Gothic" w:hAnsi="Century Gothic" w:cs="Verdana"/>
          <w:szCs w:val="21"/>
        </w:rPr>
        <w:t>emptional</w:t>
      </w:r>
      <w:proofErr w:type="spellEnd"/>
      <w:r w:rsidRPr="0029384F">
        <w:rPr>
          <w:rFonts w:ascii="Century Gothic" w:hAnsi="Century Gothic" w:cs="Verdana"/>
          <w:szCs w:val="21"/>
        </w:rPr>
        <w:t xml:space="preserve"> land to the assignee4.</w:t>
      </w:r>
    </w:p>
    <w:p w:rsidR="00D91A35" w:rsidRPr="0029384F" w:rsidRDefault="00D91A35" w:rsidP="0029384F">
      <w:pPr>
        <w:pStyle w:val="NormalWeb"/>
        <w:spacing w:line="276" w:lineRule="auto"/>
        <w:ind w:left="1440"/>
        <w:rPr>
          <w:rFonts w:ascii="Century Gothic" w:hAnsi="Century Gothic" w:cs="Verdana"/>
          <w:szCs w:val="21"/>
        </w:rPr>
      </w:pPr>
      <w:proofErr w:type="gramStart"/>
      <w:r w:rsidRPr="0029384F">
        <w:rPr>
          <w:rFonts w:ascii="Century Gothic" w:hAnsi="Century Gothic" w:cs="Verdana"/>
          <w:szCs w:val="21"/>
        </w:rPr>
        <w:t xml:space="preserve">1. </w:t>
      </w:r>
      <w:proofErr w:type="spellStart"/>
      <w:r w:rsidRPr="0029384F">
        <w:rPr>
          <w:rFonts w:ascii="Century Gothic" w:hAnsi="Century Gothic" w:cs="Verdana"/>
          <w:szCs w:val="21"/>
        </w:rPr>
        <w:t>Prahlad</w:t>
      </w:r>
      <w:proofErr w:type="spellEnd"/>
      <w:r w:rsidRPr="0029384F">
        <w:rPr>
          <w:rFonts w:ascii="Century Gothic" w:hAnsi="Century Gothic" w:cs="Verdana"/>
          <w:szCs w:val="21"/>
        </w:rPr>
        <w:t xml:space="preserve"> </w:t>
      </w:r>
      <w:proofErr w:type="spellStart"/>
      <w:r w:rsidRPr="0029384F">
        <w:rPr>
          <w:rFonts w:ascii="Century Gothic" w:hAnsi="Century Gothic" w:cs="Verdana"/>
          <w:szCs w:val="21"/>
        </w:rPr>
        <w:t>Misra</w:t>
      </w:r>
      <w:proofErr w:type="spellEnd"/>
      <w:r w:rsidRPr="0029384F">
        <w:rPr>
          <w:rFonts w:ascii="Century Gothic" w:hAnsi="Century Gothic" w:cs="Verdana"/>
          <w:szCs w:val="21"/>
        </w:rPr>
        <w:t xml:space="preserve"> v. </w:t>
      </w:r>
      <w:proofErr w:type="spellStart"/>
      <w:r w:rsidRPr="0029384F">
        <w:rPr>
          <w:rFonts w:ascii="Century Gothic" w:hAnsi="Century Gothic" w:cs="Verdana"/>
          <w:szCs w:val="21"/>
        </w:rPr>
        <w:t>Narasingha</w:t>
      </w:r>
      <w:proofErr w:type="spellEnd"/>
      <w:r w:rsidRPr="0029384F">
        <w:rPr>
          <w:rFonts w:ascii="Century Gothic" w:hAnsi="Century Gothic" w:cs="Verdana"/>
          <w:szCs w:val="21"/>
        </w:rPr>
        <w:t xml:space="preserve"> </w:t>
      </w:r>
      <w:proofErr w:type="spellStart"/>
      <w:r w:rsidRPr="0029384F">
        <w:rPr>
          <w:rFonts w:ascii="Century Gothic" w:hAnsi="Century Gothic" w:cs="Verdana"/>
          <w:szCs w:val="21"/>
        </w:rPr>
        <w:t>Mahapatra</w:t>
      </w:r>
      <w:proofErr w:type="spellEnd"/>
      <w:r w:rsidRPr="0029384F">
        <w:rPr>
          <w:rFonts w:ascii="Century Gothic" w:hAnsi="Century Gothic" w:cs="Verdana"/>
          <w:szCs w:val="21"/>
        </w:rPr>
        <w:t>, I. L. R. (1965) Cut.</w:t>
      </w:r>
      <w:proofErr w:type="gramEnd"/>
      <w:r w:rsidRPr="0029384F">
        <w:rPr>
          <w:rFonts w:ascii="Century Gothic" w:hAnsi="Century Gothic" w:cs="Verdana"/>
          <w:szCs w:val="21"/>
        </w:rPr>
        <w:t xml:space="preserve"> </w:t>
      </w:r>
      <w:proofErr w:type="gramStart"/>
      <w:r w:rsidRPr="0029384F">
        <w:rPr>
          <w:rFonts w:ascii="Century Gothic" w:hAnsi="Century Gothic" w:cs="Verdana"/>
          <w:szCs w:val="21"/>
        </w:rPr>
        <w:t>523: 32 Cut.</w:t>
      </w:r>
      <w:proofErr w:type="gramEnd"/>
      <w:r w:rsidRPr="0029384F">
        <w:rPr>
          <w:rFonts w:ascii="Century Gothic" w:hAnsi="Century Gothic" w:cs="Verdana"/>
          <w:szCs w:val="21"/>
        </w:rPr>
        <w:t xml:space="preserve"> L. T. 570.</w:t>
      </w:r>
    </w:p>
    <w:p w:rsidR="00D91A35" w:rsidRPr="0029384F" w:rsidRDefault="00D91A35" w:rsidP="0029384F">
      <w:pPr>
        <w:pStyle w:val="NormalWeb"/>
        <w:spacing w:line="276" w:lineRule="auto"/>
        <w:ind w:left="1440"/>
        <w:rPr>
          <w:rFonts w:ascii="Century Gothic" w:hAnsi="Century Gothic" w:cs="Verdana"/>
          <w:szCs w:val="21"/>
        </w:rPr>
      </w:pPr>
      <w:r w:rsidRPr="0029384F">
        <w:rPr>
          <w:rFonts w:ascii="Century Gothic" w:hAnsi="Century Gothic" w:cs="Verdana"/>
          <w:szCs w:val="21"/>
        </w:rPr>
        <w:t xml:space="preserve">2. </w:t>
      </w:r>
      <w:proofErr w:type="spellStart"/>
      <w:r w:rsidRPr="0029384F">
        <w:rPr>
          <w:rFonts w:ascii="Century Gothic" w:hAnsi="Century Gothic" w:cs="Verdana"/>
          <w:szCs w:val="21"/>
        </w:rPr>
        <w:t>Kanduri</w:t>
      </w:r>
      <w:proofErr w:type="spellEnd"/>
      <w:r w:rsidRPr="0029384F">
        <w:rPr>
          <w:rFonts w:ascii="Century Gothic" w:hAnsi="Century Gothic" w:cs="Verdana"/>
          <w:szCs w:val="21"/>
        </w:rPr>
        <w:t xml:space="preserve"> </w:t>
      </w:r>
      <w:proofErr w:type="spellStart"/>
      <w:r w:rsidRPr="0029384F">
        <w:rPr>
          <w:rFonts w:ascii="Century Gothic" w:hAnsi="Century Gothic" w:cs="Verdana"/>
          <w:szCs w:val="21"/>
        </w:rPr>
        <w:t>Sahu</w:t>
      </w:r>
      <w:proofErr w:type="spellEnd"/>
      <w:r w:rsidRPr="0029384F">
        <w:rPr>
          <w:rFonts w:ascii="Century Gothic" w:hAnsi="Century Gothic" w:cs="Verdana"/>
          <w:szCs w:val="21"/>
        </w:rPr>
        <w:t xml:space="preserve"> v. </w:t>
      </w:r>
      <w:proofErr w:type="spellStart"/>
      <w:r w:rsidRPr="0029384F">
        <w:rPr>
          <w:rFonts w:ascii="Century Gothic" w:hAnsi="Century Gothic" w:cs="Verdana"/>
          <w:szCs w:val="21"/>
        </w:rPr>
        <w:t>Nidhi</w:t>
      </w:r>
      <w:proofErr w:type="spellEnd"/>
      <w:r w:rsidRPr="0029384F">
        <w:rPr>
          <w:rFonts w:ascii="Century Gothic" w:hAnsi="Century Gothic" w:cs="Verdana"/>
          <w:szCs w:val="21"/>
        </w:rPr>
        <w:t xml:space="preserve"> </w:t>
      </w:r>
      <w:proofErr w:type="spellStart"/>
      <w:r w:rsidRPr="0029384F">
        <w:rPr>
          <w:rFonts w:ascii="Century Gothic" w:hAnsi="Century Gothic" w:cs="Verdana"/>
          <w:szCs w:val="21"/>
        </w:rPr>
        <w:t>Sahu</w:t>
      </w:r>
      <w:proofErr w:type="spellEnd"/>
      <w:r w:rsidRPr="0029384F">
        <w:rPr>
          <w:rFonts w:ascii="Century Gothic" w:hAnsi="Century Gothic" w:cs="Verdana"/>
          <w:szCs w:val="21"/>
        </w:rPr>
        <w:t xml:space="preserve">, A.I.R. 1966 Orissa 44: l. L. R. (1965) cut. </w:t>
      </w:r>
      <w:proofErr w:type="gramStart"/>
      <w:r w:rsidRPr="0029384F">
        <w:rPr>
          <w:rFonts w:ascii="Century Gothic" w:hAnsi="Century Gothic" w:cs="Verdana"/>
          <w:szCs w:val="21"/>
        </w:rPr>
        <w:t>506: 31 Cut.</w:t>
      </w:r>
      <w:proofErr w:type="gramEnd"/>
      <w:r w:rsidRPr="0029384F">
        <w:rPr>
          <w:rFonts w:ascii="Century Gothic" w:hAnsi="Century Gothic" w:cs="Verdana"/>
          <w:szCs w:val="21"/>
        </w:rPr>
        <w:t xml:space="preserve"> L. T. 757.</w:t>
      </w:r>
    </w:p>
    <w:p w:rsidR="00D91A35" w:rsidRPr="0029384F" w:rsidRDefault="00D91A35" w:rsidP="0029384F">
      <w:pPr>
        <w:pStyle w:val="NormalWeb"/>
        <w:spacing w:line="276" w:lineRule="auto"/>
        <w:ind w:left="1440"/>
        <w:rPr>
          <w:rFonts w:ascii="Century Gothic" w:hAnsi="Century Gothic" w:cs="Verdana"/>
          <w:szCs w:val="21"/>
        </w:rPr>
      </w:pPr>
      <w:r w:rsidRPr="0029384F">
        <w:rPr>
          <w:rFonts w:ascii="Century Gothic" w:hAnsi="Century Gothic" w:cs="Verdana"/>
          <w:szCs w:val="21"/>
        </w:rPr>
        <w:t xml:space="preserve">3. </w:t>
      </w:r>
      <w:proofErr w:type="spellStart"/>
      <w:r w:rsidRPr="0029384F">
        <w:rPr>
          <w:rFonts w:ascii="Century Gothic" w:hAnsi="Century Gothic" w:cs="Verdana"/>
          <w:szCs w:val="21"/>
        </w:rPr>
        <w:t>Bhoop</w:t>
      </w:r>
      <w:proofErr w:type="spellEnd"/>
      <w:r w:rsidRPr="0029384F">
        <w:rPr>
          <w:rFonts w:ascii="Century Gothic" w:hAnsi="Century Gothic" w:cs="Verdana"/>
          <w:szCs w:val="21"/>
        </w:rPr>
        <w:t xml:space="preserve"> v </w:t>
      </w:r>
      <w:proofErr w:type="spellStart"/>
      <w:r w:rsidRPr="0029384F">
        <w:rPr>
          <w:rFonts w:ascii="Century Gothic" w:hAnsi="Century Gothic" w:cs="Verdana"/>
          <w:szCs w:val="21"/>
        </w:rPr>
        <w:t>Matadin</w:t>
      </w:r>
      <w:proofErr w:type="spellEnd"/>
      <w:r w:rsidRPr="0029384F">
        <w:rPr>
          <w:rFonts w:ascii="Century Gothic" w:hAnsi="Century Gothic" w:cs="Verdana"/>
          <w:szCs w:val="21"/>
        </w:rPr>
        <w:t xml:space="preserve"> </w:t>
      </w:r>
      <w:proofErr w:type="spellStart"/>
      <w:r w:rsidRPr="0029384F">
        <w:rPr>
          <w:rFonts w:ascii="Century Gothic" w:hAnsi="Century Gothic" w:cs="Verdana"/>
          <w:szCs w:val="21"/>
        </w:rPr>
        <w:t>Bhardwaj</w:t>
      </w:r>
      <w:proofErr w:type="spellEnd"/>
      <w:r w:rsidRPr="0029384F">
        <w:rPr>
          <w:rFonts w:ascii="Century Gothic" w:hAnsi="Century Gothic" w:cs="Verdana"/>
          <w:szCs w:val="21"/>
        </w:rPr>
        <w:t>, 1991 (1) C.C.C. 403 (S.C</w:t>
      </w:r>
      <w:proofErr w:type="gramStart"/>
      <w:r w:rsidRPr="0029384F">
        <w:rPr>
          <w:rFonts w:ascii="Century Gothic" w:hAnsi="Century Gothic" w:cs="Verdana"/>
          <w:szCs w:val="21"/>
        </w:rPr>
        <w:t>. )</w:t>
      </w:r>
      <w:proofErr w:type="gramEnd"/>
      <w:r w:rsidRPr="0029384F">
        <w:rPr>
          <w:rFonts w:ascii="Century Gothic" w:hAnsi="Century Gothic" w:cs="Verdana"/>
          <w:szCs w:val="21"/>
        </w:rPr>
        <w:t>.</w:t>
      </w:r>
    </w:p>
    <w:p w:rsidR="00D91A35" w:rsidRPr="0029384F" w:rsidRDefault="00D91A35" w:rsidP="0029384F">
      <w:pPr>
        <w:pStyle w:val="NormalWeb"/>
        <w:spacing w:line="276" w:lineRule="auto"/>
        <w:ind w:left="1440"/>
        <w:rPr>
          <w:rFonts w:ascii="Century Gothic" w:hAnsi="Century Gothic" w:cs="Verdana"/>
          <w:szCs w:val="21"/>
        </w:rPr>
      </w:pPr>
      <w:r w:rsidRPr="0029384F">
        <w:rPr>
          <w:rFonts w:ascii="Century Gothic" w:hAnsi="Century Gothic" w:cs="Verdana"/>
          <w:szCs w:val="21"/>
        </w:rPr>
        <w:t xml:space="preserve">4. </w:t>
      </w:r>
      <w:proofErr w:type="spellStart"/>
      <w:r w:rsidRPr="0029384F">
        <w:rPr>
          <w:rFonts w:ascii="Century Gothic" w:hAnsi="Century Gothic" w:cs="Verdana"/>
          <w:szCs w:val="21"/>
        </w:rPr>
        <w:t>Bhoop</w:t>
      </w:r>
      <w:proofErr w:type="spellEnd"/>
      <w:r w:rsidRPr="0029384F">
        <w:rPr>
          <w:rFonts w:ascii="Century Gothic" w:hAnsi="Century Gothic" w:cs="Verdana"/>
          <w:szCs w:val="21"/>
        </w:rPr>
        <w:t xml:space="preserve"> v. </w:t>
      </w:r>
      <w:proofErr w:type="spellStart"/>
      <w:r w:rsidRPr="0029384F">
        <w:rPr>
          <w:rFonts w:ascii="Century Gothic" w:hAnsi="Century Gothic" w:cs="Verdana"/>
          <w:szCs w:val="21"/>
        </w:rPr>
        <w:t>Matadin</w:t>
      </w:r>
      <w:proofErr w:type="spellEnd"/>
      <w:r w:rsidRPr="0029384F">
        <w:rPr>
          <w:rFonts w:ascii="Century Gothic" w:hAnsi="Century Gothic" w:cs="Verdana"/>
          <w:szCs w:val="21"/>
        </w:rPr>
        <w:t xml:space="preserve"> </w:t>
      </w:r>
      <w:proofErr w:type="spellStart"/>
      <w:r w:rsidRPr="0029384F">
        <w:rPr>
          <w:rFonts w:ascii="Century Gothic" w:hAnsi="Century Gothic" w:cs="Verdana"/>
          <w:szCs w:val="21"/>
        </w:rPr>
        <w:t>Bhardwaj</w:t>
      </w:r>
      <w:proofErr w:type="spellEnd"/>
      <w:r w:rsidRPr="0029384F">
        <w:rPr>
          <w:rFonts w:ascii="Century Gothic" w:hAnsi="Century Gothic" w:cs="Verdana"/>
          <w:szCs w:val="21"/>
        </w:rPr>
        <w:t xml:space="preserve"> S/o </w:t>
      </w:r>
      <w:proofErr w:type="spellStart"/>
      <w:r w:rsidRPr="0029384F">
        <w:rPr>
          <w:rFonts w:ascii="Century Gothic" w:hAnsi="Century Gothic" w:cs="Verdana"/>
          <w:szCs w:val="21"/>
        </w:rPr>
        <w:t>Laxmi</w:t>
      </w:r>
      <w:proofErr w:type="spellEnd"/>
      <w:r w:rsidRPr="0029384F">
        <w:rPr>
          <w:rFonts w:ascii="Century Gothic" w:hAnsi="Century Gothic" w:cs="Verdana"/>
          <w:szCs w:val="21"/>
        </w:rPr>
        <w:t xml:space="preserve"> Chand, A.I.R. 1991 Supreme Court 373: 1990 (4) J. T. 594: 1990 Supp. (3) S.C. R. 410: 1991 (2) S.C.C. 128.</w:t>
      </w:r>
    </w:p>
    <w:bookmarkEnd w:id="0"/>
    <w:p w:rsidR="00D91A35" w:rsidRPr="0029384F" w:rsidRDefault="00D91A35" w:rsidP="0029384F">
      <w:pPr>
        <w:rPr>
          <w:rFonts w:ascii="Century Gothic" w:hAnsi="Century Gothic"/>
          <w:sz w:val="28"/>
        </w:rPr>
      </w:pPr>
    </w:p>
    <w:sectPr w:rsidR="00D91A35" w:rsidRPr="0029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A3"/>
    <w:rsid w:val="0029384F"/>
    <w:rsid w:val="006E65A3"/>
    <w:rsid w:val="007F7CBF"/>
    <w:rsid w:val="00927DA6"/>
    <w:rsid w:val="00C326C6"/>
    <w:rsid w:val="00D91A35"/>
    <w:rsid w:val="00DD2332"/>
    <w:rsid w:val="00E261F2"/>
    <w:rsid w:val="00E67CFC"/>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A3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A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46%20OF%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146 OF C P C</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2024-06-15T12:21:00Z</dcterms:created>
  <dcterms:modified xsi:type="dcterms:W3CDTF">2024-06-15T12:21:00Z</dcterms:modified>
</cp:coreProperties>
</file>