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5F" w:rsidRPr="00D821D1" w:rsidRDefault="006A6C5F" w:rsidP="00D821D1">
      <w:pPr>
        <w:widowControl w:val="0"/>
        <w:autoSpaceDE w:val="0"/>
        <w:autoSpaceDN w:val="0"/>
        <w:adjustRightInd w:val="0"/>
        <w:spacing w:after="0"/>
        <w:jc w:val="center"/>
        <w:rPr>
          <w:rFonts w:ascii="Century Gothic" w:hAnsi="Century Gothic" w:cs="Century Gothic"/>
          <w:b/>
          <w:bCs/>
          <w:sz w:val="24"/>
          <w:szCs w:val="28"/>
          <w:lang w:val="en-GB"/>
        </w:rPr>
      </w:pPr>
      <w:bookmarkStart w:id="0" w:name="_GoBack"/>
      <w:r w:rsidRPr="00D821D1">
        <w:rPr>
          <w:rFonts w:ascii="Century Gothic" w:hAnsi="Century Gothic" w:cs="Century Gothic"/>
          <w:b/>
          <w:bCs/>
          <w:sz w:val="24"/>
          <w:szCs w:val="28"/>
          <w:lang w:val="en-GB"/>
        </w:rPr>
        <w:t>FORM NO. 23AB</w:t>
      </w:r>
    </w:p>
    <w:p w:rsidR="006A6C5F" w:rsidRPr="00D821D1" w:rsidRDefault="006A6C5F" w:rsidP="00D821D1">
      <w:pPr>
        <w:widowControl w:val="0"/>
        <w:autoSpaceDE w:val="0"/>
        <w:autoSpaceDN w:val="0"/>
        <w:adjustRightInd w:val="0"/>
        <w:spacing w:after="0"/>
        <w:jc w:val="center"/>
        <w:rPr>
          <w:rFonts w:ascii="Century Gothic" w:hAnsi="Century Gothic" w:cs="Century Gothic"/>
          <w:i/>
          <w:iCs/>
          <w:sz w:val="24"/>
          <w:szCs w:val="28"/>
          <w:lang w:val="en-GB"/>
        </w:rPr>
      </w:pPr>
      <w:r w:rsidRPr="00D821D1">
        <w:rPr>
          <w:rFonts w:ascii="Century Gothic" w:hAnsi="Century Gothic" w:cs="Century Gothic"/>
          <w:i/>
          <w:iCs/>
          <w:sz w:val="24"/>
          <w:szCs w:val="28"/>
          <w:lang w:val="en-GB"/>
        </w:rPr>
        <w:t>(See Rule 7A)</w:t>
      </w:r>
    </w:p>
    <w:p w:rsidR="006A6C5F" w:rsidRPr="00D821D1" w:rsidRDefault="006A6C5F" w:rsidP="00D821D1">
      <w:pPr>
        <w:widowControl w:val="0"/>
        <w:autoSpaceDE w:val="0"/>
        <w:autoSpaceDN w:val="0"/>
        <w:adjustRightInd w:val="0"/>
        <w:spacing w:after="120"/>
        <w:jc w:val="center"/>
        <w:rPr>
          <w:rFonts w:ascii="Century Gothic" w:hAnsi="Century Gothic" w:cs="Century Gothic"/>
          <w:b/>
          <w:bCs/>
          <w:sz w:val="24"/>
          <w:szCs w:val="28"/>
          <w:lang w:val="en-GB"/>
        </w:rPr>
      </w:pPr>
      <w:r w:rsidRPr="00D821D1">
        <w:rPr>
          <w:rFonts w:ascii="Century Gothic" w:hAnsi="Century Gothic" w:cs="Century Gothic"/>
          <w:b/>
          <w:bCs/>
          <w:sz w:val="24"/>
          <w:szCs w:val="28"/>
          <w:lang w:val="en-GB"/>
        </w:rPr>
        <w:t>Statement contenting salient features of balance sheet and profit and loss account, etc. as per section 219(1</w:t>
      </w:r>
      <w:proofErr w:type="gramStart"/>
      <w:r w:rsidRPr="00D821D1">
        <w:rPr>
          <w:rFonts w:ascii="Century Gothic" w:hAnsi="Century Gothic" w:cs="Century Gothic"/>
          <w:b/>
          <w:bCs/>
          <w:sz w:val="24"/>
          <w:szCs w:val="28"/>
          <w:lang w:val="en-GB"/>
        </w:rPr>
        <w:t>)(</w:t>
      </w:r>
      <w:proofErr w:type="gramEnd"/>
      <w:r w:rsidRPr="00D821D1">
        <w:rPr>
          <w:rFonts w:ascii="Century Gothic" w:hAnsi="Century Gothic" w:cs="Century Gothic"/>
          <w:b/>
          <w:bCs/>
          <w:sz w:val="24"/>
          <w:szCs w:val="28"/>
          <w:lang w:val="en-GB"/>
        </w:rPr>
        <w:t>b)(iv)</w:t>
      </w:r>
    </w:p>
    <w:p w:rsidR="006A6C5F" w:rsidRPr="00D821D1" w:rsidRDefault="006A6C5F" w:rsidP="00D821D1">
      <w:pPr>
        <w:widowControl w:val="0"/>
        <w:autoSpaceDE w:val="0"/>
        <w:autoSpaceDN w:val="0"/>
        <w:adjustRightInd w:val="0"/>
        <w:spacing w:after="120"/>
        <w:jc w:val="center"/>
        <w:rPr>
          <w:rFonts w:ascii="Century Gothic" w:hAnsi="Century Gothic" w:cs="Century Gothic"/>
          <w:i/>
          <w:iCs/>
          <w:sz w:val="24"/>
          <w:szCs w:val="28"/>
          <w:lang w:val="en-GB"/>
        </w:rPr>
      </w:pPr>
      <w:r w:rsidRPr="00D821D1">
        <w:rPr>
          <w:rFonts w:ascii="Century Gothic" w:hAnsi="Century Gothic" w:cs="Century Gothic"/>
          <w:i/>
          <w:iCs/>
          <w:sz w:val="24"/>
          <w:szCs w:val="28"/>
          <w:lang w:val="en-GB"/>
        </w:rPr>
        <w:t xml:space="preserve">Form of Abridged Balance Sheet </w:t>
      </w:r>
    </w:p>
    <w:p w:rsidR="006A6C5F" w:rsidRPr="00D821D1" w:rsidRDefault="006A6C5F" w:rsidP="00D821D1">
      <w:pPr>
        <w:widowControl w:val="0"/>
        <w:autoSpaceDE w:val="0"/>
        <w:autoSpaceDN w:val="0"/>
        <w:adjustRightInd w:val="0"/>
        <w:spacing w:after="60"/>
        <w:rPr>
          <w:rFonts w:ascii="Century Gothic" w:hAnsi="Century Gothic" w:cs="Century Gothic"/>
          <w:sz w:val="24"/>
          <w:szCs w:val="28"/>
          <w:lang w:val="en-GB"/>
        </w:rPr>
      </w:pPr>
      <w:r w:rsidRPr="00D821D1">
        <w:rPr>
          <w:rFonts w:ascii="Century Gothic" w:hAnsi="Century Gothic" w:cs="Century Gothic"/>
          <w:sz w:val="24"/>
          <w:szCs w:val="28"/>
          <w:lang w:val="en-GB"/>
        </w:rPr>
        <w:t>Name of the Company …………………….</w:t>
      </w:r>
    </w:p>
    <w:p w:rsidR="006A6C5F" w:rsidRPr="00D821D1" w:rsidRDefault="006A6C5F" w:rsidP="00D821D1">
      <w:pPr>
        <w:widowControl w:val="0"/>
        <w:autoSpaceDE w:val="0"/>
        <w:autoSpaceDN w:val="0"/>
        <w:adjustRightInd w:val="0"/>
        <w:spacing w:after="60"/>
        <w:jc w:val="center"/>
        <w:rPr>
          <w:rFonts w:ascii="Century Gothic" w:hAnsi="Century Gothic" w:cs="Century Gothic"/>
          <w:b/>
          <w:bCs/>
          <w:sz w:val="24"/>
          <w:szCs w:val="28"/>
          <w:lang w:val="en-GB"/>
        </w:rPr>
      </w:pPr>
      <w:r w:rsidRPr="00D821D1">
        <w:rPr>
          <w:rFonts w:ascii="Century Gothic" w:hAnsi="Century Gothic" w:cs="Century Gothic"/>
          <w:b/>
          <w:bCs/>
          <w:sz w:val="24"/>
          <w:szCs w:val="28"/>
          <w:lang w:val="en-GB"/>
        </w:rPr>
        <w:t>Abridged balance sheet as at …………………</w:t>
      </w:r>
    </w:p>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bl>
      <w:tblPr>
        <w:tblW w:w="0" w:type="auto"/>
        <w:tblLayout w:type="fixed"/>
        <w:tblLook w:val="0000" w:firstRow="0" w:lastRow="0" w:firstColumn="0" w:lastColumn="0" w:noHBand="0" w:noVBand="0"/>
      </w:tblPr>
      <w:tblGrid>
        <w:gridCol w:w="558"/>
        <w:gridCol w:w="4224"/>
        <w:gridCol w:w="1567"/>
        <w:gridCol w:w="1090"/>
        <w:gridCol w:w="1088"/>
        <w:gridCol w:w="7"/>
      </w:tblGrid>
      <w:tr w:rsidR="006A6C5F" w:rsidRPr="00D821D1">
        <w:tblPrEx>
          <w:tblCellMar>
            <w:top w:w="0" w:type="dxa"/>
            <w:bottom w:w="0" w:type="dxa"/>
          </w:tblCellMar>
        </w:tblPrEx>
        <w:trPr>
          <w:gridAfter w:val="1"/>
          <w:wAfter w:w="7" w:type="dxa"/>
        </w:trPr>
        <w:tc>
          <w:tcPr>
            <w:tcW w:w="6349" w:type="dxa"/>
            <w:gridSpan w:val="3"/>
            <w:tcBorders>
              <w:top w:val="single" w:sz="6" w:space="0" w:color="auto"/>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r w:rsidRPr="00D821D1">
              <w:rPr>
                <w:rFonts w:ascii="Century Gothic" w:hAnsi="Century Gothic" w:cs="Century Gothic"/>
                <w:sz w:val="24"/>
                <w:szCs w:val="28"/>
                <w:lang w:val="en-GB"/>
              </w:rPr>
              <w:t xml:space="preserve">Particulars </w:t>
            </w:r>
          </w:p>
        </w:tc>
        <w:tc>
          <w:tcPr>
            <w:tcW w:w="2178" w:type="dxa"/>
            <w:gridSpan w:val="2"/>
            <w:tcBorders>
              <w:top w:val="single" w:sz="6" w:space="0" w:color="auto"/>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r w:rsidRPr="00D821D1">
              <w:rPr>
                <w:rFonts w:ascii="Century Gothic" w:hAnsi="Century Gothic" w:cs="Century Gothic"/>
                <w:sz w:val="24"/>
                <w:szCs w:val="28"/>
                <w:lang w:val="en-GB"/>
              </w:rPr>
              <w:t xml:space="preserve">Figures at the end of </w:t>
            </w:r>
          </w:p>
        </w:tc>
      </w:tr>
      <w:tr w:rsidR="006A6C5F" w:rsidRPr="00D821D1">
        <w:tblPrEx>
          <w:tblCellMar>
            <w:top w:w="0" w:type="dxa"/>
            <w:bottom w:w="0" w:type="dxa"/>
          </w:tblCellMar>
        </w:tblPrEx>
        <w:tc>
          <w:tcPr>
            <w:tcW w:w="6349" w:type="dxa"/>
            <w:gridSpan w:val="3"/>
            <w:tcBorders>
              <w:top w:val="nil"/>
              <w:left w:val="nil"/>
              <w:bottom w:val="single" w:sz="6" w:space="0" w:color="auto"/>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1090" w:type="dxa"/>
            <w:tcBorders>
              <w:top w:val="single" w:sz="6" w:space="0" w:color="auto"/>
              <w:left w:val="nil"/>
              <w:bottom w:val="single" w:sz="6" w:space="0" w:color="auto"/>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r w:rsidRPr="00D821D1">
              <w:rPr>
                <w:rFonts w:ascii="Century Gothic" w:hAnsi="Century Gothic" w:cs="Century Gothic"/>
                <w:sz w:val="24"/>
                <w:szCs w:val="28"/>
                <w:lang w:val="en-GB"/>
              </w:rPr>
              <w:t>Current financial year</w:t>
            </w:r>
          </w:p>
        </w:tc>
        <w:tc>
          <w:tcPr>
            <w:tcW w:w="1095" w:type="dxa"/>
            <w:gridSpan w:val="2"/>
            <w:tcBorders>
              <w:top w:val="single" w:sz="6" w:space="0" w:color="auto"/>
              <w:left w:val="nil"/>
              <w:bottom w:val="single" w:sz="6" w:space="0" w:color="auto"/>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r w:rsidRPr="00D821D1">
              <w:rPr>
                <w:rFonts w:ascii="Century Gothic" w:hAnsi="Century Gothic" w:cs="Century Gothic"/>
                <w:sz w:val="24"/>
                <w:szCs w:val="28"/>
                <w:lang w:val="en-GB"/>
              </w:rPr>
              <w:t>Previous financial year</w:t>
            </w:r>
          </w:p>
        </w:tc>
      </w:tr>
      <w:tr w:rsidR="006A6C5F" w:rsidRPr="00D821D1">
        <w:tblPrEx>
          <w:tblCellMar>
            <w:top w:w="0" w:type="dxa"/>
            <w:bottom w:w="0" w:type="dxa"/>
          </w:tblCellMar>
        </w:tblPrEx>
        <w:tc>
          <w:tcPr>
            <w:tcW w:w="6349" w:type="dxa"/>
            <w:gridSpan w:val="3"/>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I</w:t>
            </w: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SOURCES OF FUNDS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144" w:hanging="144"/>
              <w:rPr>
                <w:rFonts w:ascii="Century Gothic" w:hAnsi="Century Gothic" w:cs="Century Gothic"/>
                <w:sz w:val="24"/>
                <w:szCs w:val="28"/>
                <w:lang w:val="en-GB"/>
              </w:rPr>
            </w:pPr>
            <w:r w:rsidRPr="00D821D1">
              <w:rPr>
                <w:rFonts w:ascii="Century Gothic" w:hAnsi="Century Gothic" w:cs="Century Gothic"/>
                <w:sz w:val="24"/>
                <w:szCs w:val="28"/>
                <w:lang w:val="en-GB"/>
              </w:rPr>
              <w:t>(4)</w:t>
            </w:r>
            <w:r w:rsidRPr="00D821D1">
              <w:rPr>
                <w:rFonts w:ascii="Century Gothic" w:hAnsi="Century Gothic" w:cs="Century Gothic"/>
                <w:sz w:val="24"/>
                <w:szCs w:val="28"/>
                <w:lang w:val="en-GB"/>
              </w:rPr>
              <w:tab/>
              <w:t>Shareholders funds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360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288" w:hanging="144"/>
              <w:rPr>
                <w:rFonts w:ascii="Century Gothic" w:hAnsi="Century Gothic" w:cs="Century Gothic"/>
                <w:sz w:val="24"/>
                <w:szCs w:val="28"/>
                <w:lang w:val="en-GB"/>
              </w:rPr>
            </w:pPr>
            <w:r w:rsidRPr="00D821D1">
              <w:rPr>
                <w:rFonts w:ascii="Century Gothic" w:hAnsi="Century Gothic" w:cs="Century Gothic"/>
                <w:sz w:val="24"/>
                <w:szCs w:val="28"/>
                <w:lang w:val="en-GB"/>
              </w:rPr>
              <w:t>(a)</w:t>
            </w:r>
            <w:r w:rsidRPr="00D821D1">
              <w:rPr>
                <w:rFonts w:ascii="Century Gothic" w:hAnsi="Century Gothic" w:cs="Century Gothic"/>
                <w:sz w:val="24"/>
                <w:szCs w:val="28"/>
                <w:lang w:val="en-GB"/>
              </w:rPr>
              <w:tab/>
              <w:t xml:space="preserve">Capital </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360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360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216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432" w:hanging="144"/>
              <w:rPr>
                <w:rFonts w:ascii="Century Gothic" w:hAnsi="Century Gothic" w:cs="Century Gothic"/>
                <w:sz w:val="24"/>
                <w:szCs w:val="28"/>
                <w:lang w:val="en-GB"/>
              </w:rPr>
            </w:pPr>
            <w:r w:rsidRPr="00D821D1">
              <w:rPr>
                <w:rFonts w:ascii="Century Gothic" w:hAnsi="Century Gothic" w:cs="Century Gothic"/>
                <w:sz w:val="24"/>
                <w:szCs w:val="28"/>
                <w:lang w:val="en-GB"/>
              </w:rPr>
              <w:t>(i)</w:t>
            </w:r>
            <w:r w:rsidRPr="00D821D1">
              <w:rPr>
                <w:rFonts w:ascii="Century Gothic" w:hAnsi="Century Gothic" w:cs="Century Gothic"/>
                <w:sz w:val="24"/>
                <w:szCs w:val="28"/>
                <w:lang w:val="en-GB"/>
              </w:rPr>
              <w:tab/>
              <w:t>Equity</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216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216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216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432" w:hanging="144"/>
              <w:rPr>
                <w:rFonts w:ascii="Century Gothic" w:hAnsi="Century Gothic" w:cs="Century Gothic"/>
                <w:sz w:val="24"/>
                <w:szCs w:val="28"/>
                <w:lang w:val="en-GB"/>
              </w:rPr>
            </w:pPr>
            <w:r w:rsidRPr="00D821D1">
              <w:rPr>
                <w:rFonts w:ascii="Century Gothic" w:hAnsi="Century Gothic" w:cs="Century Gothic"/>
                <w:sz w:val="24"/>
                <w:szCs w:val="28"/>
                <w:lang w:val="en-GB"/>
              </w:rPr>
              <w:t>(ii)</w:t>
            </w:r>
            <w:r w:rsidRPr="00D821D1">
              <w:rPr>
                <w:rFonts w:ascii="Century Gothic" w:hAnsi="Century Gothic" w:cs="Century Gothic"/>
                <w:sz w:val="24"/>
                <w:szCs w:val="28"/>
                <w:lang w:val="en-GB"/>
              </w:rPr>
              <w:tab/>
              <w:t>Preference</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216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216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216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432" w:hanging="144"/>
              <w:rPr>
                <w:rFonts w:ascii="Century Gothic" w:hAnsi="Century Gothic" w:cs="Century Gothic"/>
                <w:sz w:val="24"/>
                <w:szCs w:val="28"/>
                <w:lang w:val="en-GB"/>
              </w:rPr>
            </w:pPr>
            <w:r w:rsidRPr="00D821D1">
              <w:rPr>
                <w:rFonts w:ascii="Century Gothic" w:hAnsi="Century Gothic" w:cs="Century Gothic"/>
                <w:sz w:val="24"/>
                <w:szCs w:val="28"/>
                <w:lang w:val="en-GB"/>
              </w:rPr>
              <w:t>(iii)</w:t>
            </w:r>
            <w:r w:rsidRPr="00D821D1">
              <w:rPr>
                <w:rFonts w:ascii="Century Gothic" w:hAnsi="Century Gothic" w:cs="Century Gothic"/>
                <w:sz w:val="24"/>
                <w:szCs w:val="28"/>
                <w:lang w:val="en-GB"/>
              </w:rPr>
              <w:tab/>
              <w:t>Reserves and surplus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216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216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288" w:hanging="144"/>
              <w:rPr>
                <w:rFonts w:ascii="Century Gothic" w:hAnsi="Century Gothic" w:cs="Century Gothic"/>
                <w:sz w:val="24"/>
                <w:szCs w:val="28"/>
                <w:lang w:val="en-GB"/>
              </w:rPr>
            </w:pPr>
            <w:r w:rsidRPr="00D821D1">
              <w:rPr>
                <w:rFonts w:ascii="Century Gothic" w:hAnsi="Century Gothic" w:cs="Century Gothic"/>
                <w:sz w:val="24"/>
                <w:szCs w:val="28"/>
                <w:lang w:val="en-GB"/>
              </w:rPr>
              <w:t>(b)</w:t>
            </w:r>
            <w:r w:rsidRPr="00D821D1">
              <w:rPr>
                <w:rFonts w:ascii="Century Gothic" w:hAnsi="Century Gothic" w:cs="Century Gothic"/>
                <w:sz w:val="24"/>
                <w:szCs w:val="28"/>
                <w:lang w:val="en-GB"/>
              </w:rPr>
              <w:tab/>
              <w:t>Reserves and surplus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r w:rsidRPr="00D821D1">
              <w:rPr>
                <w:rFonts w:ascii="Century Gothic" w:hAnsi="Century Gothic" w:cs="Century Gothic"/>
                <w:sz w:val="24"/>
                <w:szCs w:val="28"/>
                <w:lang w:val="en-GB"/>
              </w:rPr>
              <w:t xml:space="preserve"> </w:t>
            </w: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144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432" w:hanging="144"/>
              <w:rPr>
                <w:rFonts w:ascii="Century Gothic" w:hAnsi="Century Gothic" w:cs="Century Gothic"/>
                <w:sz w:val="24"/>
                <w:szCs w:val="28"/>
                <w:lang w:val="en-GB"/>
              </w:rPr>
            </w:pPr>
            <w:r w:rsidRPr="00D821D1">
              <w:rPr>
                <w:rFonts w:ascii="Century Gothic" w:hAnsi="Century Gothic" w:cs="Century Gothic"/>
                <w:sz w:val="24"/>
                <w:szCs w:val="28"/>
                <w:lang w:val="en-GB"/>
              </w:rPr>
              <w:t>(i)</w:t>
            </w:r>
            <w:r w:rsidRPr="00D821D1">
              <w:rPr>
                <w:rFonts w:ascii="Century Gothic" w:hAnsi="Century Gothic" w:cs="Century Gothic"/>
                <w:sz w:val="24"/>
                <w:szCs w:val="28"/>
                <w:lang w:val="en-GB"/>
              </w:rPr>
              <w:tab/>
              <w:t>Capital reserve</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144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144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144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432" w:hanging="144"/>
              <w:rPr>
                <w:rFonts w:ascii="Century Gothic" w:hAnsi="Century Gothic" w:cs="Century Gothic"/>
                <w:sz w:val="24"/>
                <w:szCs w:val="28"/>
                <w:lang w:val="en-GB"/>
              </w:rPr>
            </w:pPr>
            <w:r w:rsidRPr="00D821D1">
              <w:rPr>
                <w:rFonts w:ascii="Century Gothic" w:hAnsi="Century Gothic" w:cs="Century Gothic"/>
                <w:sz w:val="24"/>
                <w:szCs w:val="28"/>
                <w:lang w:val="en-GB"/>
              </w:rPr>
              <w:t>(ii)</w:t>
            </w:r>
            <w:r w:rsidRPr="00D821D1">
              <w:rPr>
                <w:rFonts w:ascii="Century Gothic" w:hAnsi="Century Gothic" w:cs="Century Gothic"/>
                <w:sz w:val="24"/>
                <w:szCs w:val="28"/>
                <w:lang w:val="en-GB"/>
              </w:rPr>
              <w:tab/>
              <w:t xml:space="preserve">Revenue reserve </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144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144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144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432" w:hanging="144"/>
              <w:rPr>
                <w:rFonts w:ascii="Century Gothic" w:hAnsi="Century Gothic" w:cs="Century Gothic"/>
                <w:sz w:val="24"/>
                <w:szCs w:val="28"/>
                <w:lang w:val="en-GB"/>
              </w:rPr>
            </w:pPr>
            <w:r w:rsidRPr="00D821D1">
              <w:rPr>
                <w:rFonts w:ascii="Century Gothic" w:hAnsi="Century Gothic" w:cs="Century Gothic"/>
                <w:sz w:val="24"/>
                <w:szCs w:val="28"/>
                <w:lang w:val="en-GB"/>
              </w:rPr>
              <w:t>(iii)</w:t>
            </w:r>
            <w:r w:rsidRPr="00D821D1">
              <w:rPr>
                <w:rFonts w:ascii="Century Gothic" w:hAnsi="Century Gothic" w:cs="Century Gothic"/>
                <w:sz w:val="24"/>
                <w:szCs w:val="28"/>
                <w:lang w:val="en-GB"/>
              </w:rPr>
              <w:tab/>
              <w:t>Revaluation reserve</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144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144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144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432" w:hanging="144"/>
              <w:rPr>
                <w:rFonts w:ascii="Century Gothic" w:hAnsi="Century Gothic" w:cs="Century Gothic"/>
                <w:sz w:val="24"/>
                <w:szCs w:val="28"/>
                <w:lang w:val="en-GB"/>
              </w:rPr>
            </w:pPr>
            <w:r w:rsidRPr="00D821D1">
              <w:rPr>
                <w:rFonts w:ascii="Century Gothic" w:hAnsi="Century Gothic" w:cs="Century Gothic"/>
                <w:sz w:val="24"/>
                <w:szCs w:val="28"/>
                <w:lang w:val="en-GB"/>
              </w:rPr>
              <w:t>(iv)</w:t>
            </w:r>
            <w:r w:rsidRPr="00D821D1">
              <w:rPr>
                <w:rFonts w:ascii="Century Gothic" w:hAnsi="Century Gothic" w:cs="Century Gothic"/>
                <w:sz w:val="24"/>
                <w:szCs w:val="28"/>
                <w:lang w:val="en-GB"/>
              </w:rPr>
              <w:tab/>
              <w:t xml:space="preserve">Surplus in profit and loss account </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144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144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144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432" w:hanging="144"/>
              <w:rPr>
                <w:rFonts w:ascii="Century Gothic" w:hAnsi="Century Gothic" w:cs="Century Gothic"/>
                <w:sz w:val="24"/>
                <w:szCs w:val="28"/>
                <w:lang w:val="en-GB"/>
              </w:rPr>
            </w:pPr>
            <w:r w:rsidRPr="00D821D1">
              <w:rPr>
                <w:rFonts w:ascii="Century Gothic" w:hAnsi="Century Gothic" w:cs="Century Gothic"/>
                <w:sz w:val="24"/>
                <w:szCs w:val="28"/>
                <w:lang w:val="en-GB"/>
              </w:rPr>
              <w:t>(v)</w:t>
            </w:r>
            <w:r w:rsidRPr="00D821D1">
              <w:rPr>
                <w:rFonts w:ascii="Century Gothic" w:hAnsi="Century Gothic" w:cs="Century Gothic"/>
                <w:sz w:val="24"/>
                <w:szCs w:val="28"/>
                <w:lang w:val="en-GB"/>
              </w:rPr>
              <w:tab/>
              <w:t>Share premium reserve</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144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144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144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432" w:hanging="144"/>
              <w:rPr>
                <w:rFonts w:ascii="Century Gothic" w:hAnsi="Century Gothic" w:cs="Century Gothic"/>
                <w:sz w:val="24"/>
                <w:szCs w:val="28"/>
                <w:lang w:val="en-GB"/>
              </w:rPr>
            </w:pPr>
            <w:r w:rsidRPr="00D821D1">
              <w:rPr>
                <w:rFonts w:ascii="Century Gothic" w:hAnsi="Century Gothic" w:cs="Century Gothic"/>
                <w:sz w:val="24"/>
                <w:szCs w:val="28"/>
                <w:lang w:val="en-GB"/>
              </w:rPr>
              <w:t>(vi)</w:t>
            </w:r>
            <w:r w:rsidRPr="00D821D1">
              <w:rPr>
                <w:rFonts w:ascii="Century Gothic" w:hAnsi="Century Gothic" w:cs="Century Gothic"/>
                <w:sz w:val="24"/>
                <w:szCs w:val="28"/>
                <w:lang w:val="en-GB"/>
              </w:rPr>
              <w:tab/>
              <w:t xml:space="preserve">Investment allowance reserve] </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144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144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144" w:hanging="144"/>
              <w:rPr>
                <w:rFonts w:ascii="Century Gothic" w:hAnsi="Century Gothic" w:cs="Century Gothic"/>
                <w:sz w:val="24"/>
                <w:szCs w:val="28"/>
                <w:lang w:val="en-GB"/>
              </w:rPr>
            </w:pPr>
            <w:r w:rsidRPr="00D821D1">
              <w:rPr>
                <w:rFonts w:ascii="Century Gothic" w:hAnsi="Century Gothic" w:cs="Century Gothic"/>
                <w:sz w:val="24"/>
                <w:szCs w:val="28"/>
                <w:lang w:val="en-GB"/>
              </w:rPr>
              <w:t>(5)</w:t>
            </w:r>
            <w:r w:rsidRPr="00D821D1">
              <w:rPr>
                <w:rFonts w:ascii="Century Gothic" w:hAnsi="Century Gothic" w:cs="Century Gothic"/>
                <w:sz w:val="24"/>
                <w:szCs w:val="28"/>
                <w:lang w:val="en-GB"/>
              </w:rPr>
              <w:tab/>
              <w:t>Loan funds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288" w:hanging="144"/>
              <w:rPr>
                <w:rFonts w:ascii="Century Gothic" w:hAnsi="Century Gothic" w:cs="Century Gothic"/>
                <w:sz w:val="24"/>
                <w:szCs w:val="28"/>
                <w:lang w:val="en-GB"/>
              </w:rPr>
            </w:pPr>
            <w:r w:rsidRPr="00D821D1">
              <w:rPr>
                <w:rFonts w:ascii="Century Gothic" w:hAnsi="Century Gothic" w:cs="Century Gothic"/>
                <w:sz w:val="24"/>
                <w:szCs w:val="28"/>
                <w:lang w:val="en-GB"/>
              </w:rPr>
              <w:t>(a)</w:t>
            </w:r>
            <w:r w:rsidRPr="00D821D1">
              <w:rPr>
                <w:rFonts w:ascii="Century Gothic" w:hAnsi="Century Gothic" w:cs="Century Gothic"/>
                <w:sz w:val="24"/>
                <w:szCs w:val="28"/>
                <w:lang w:val="en-GB"/>
              </w:rPr>
              <w:tab/>
              <w:t xml:space="preserve">Debentures (the amount of convertible /partly convertible debentures indicating the date of conversion] </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288" w:hanging="144"/>
              <w:rPr>
                <w:rFonts w:ascii="Century Gothic" w:hAnsi="Century Gothic" w:cs="Century Gothic"/>
                <w:sz w:val="24"/>
                <w:szCs w:val="28"/>
                <w:lang w:val="en-GB"/>
              </w:rPr>
            </w:pPr>
            <w:r w:rsidRPr="00D821D1">
              <w:rPr>
                <w:rFonts w:ascii="Century Gothic" w:hAnsi="Century Gothic" w:cs="Century Gothic"/>
                <w:sz w:val="24"/>
                <w:szCs w:val="28"/>
                <w:lang w:val="en-GB"/>
              </w:rPr>
              <w:t>(b)</w:t>
            </w:r>
            <w:r w:rsidRPr="00D821D1">
              <w:rPr>
                <w:rFonts w:ascii="Century Gothic" w:hAnsi="Century Gothic" w:cs="Century Gothic"/>
                <w:sz w:val="24"/>
                <w:szCs w:val="28"/>
                <w:lang w:val="en-GB"/>
              </w:rPr>
              <w:tab/>
              <w:t>Public deposits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288" w:hanging="144"/>
              <w:rPr>
                <w:rFonts w:ascii="Century Gothic" w:hAnsi="Century Gothic" w:cs="Century Gothic"/>
                <w:sz w:val="24"/>
                <w:szCs w:val="28"/>
                <w:lang w:val="en-GB"/>
              </w:rPr>
            </w:pPr>
            <w:r w:rsidRPr="00D821D1">
              <w:rPr>
                <w:rFonts w:ascii="Century Gothic" w:hAnsi="Century Gothic" w:cs="Century Gothic"/>
                <w:sz w:val="24"/>
                <w:szCs w:val="28"/>
                <w:lang w:val="en-GB"/>
              </w:rPr>
              <w:t>(c)</w:t>
            </w:r>
            <w:r w:rsidRPr="00D821D1">
              <w:rPr>
                <w:rFonts w:ascii="Century Gothic" w:hAnsi="Century Gothic" w:cs="Century Gothic"/>
                <w:sz w:val="24"/>
                <w:szCs w:val="28"/>
                <w:lang w:val="en-GB"/>
              </w:rPr>
              <w:tab/>
              <w:t>©Secured loans (other than debentures)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288" w:hanging="144"/>
              <w:rPr>
                <w:rFonts w:ascii="Century Gothic" w:hAnsi="Century Gothic" w:cs="Century Gothic"/>
                <w:sz w:val="24"/>
                <w:szCs w:val="28"/>
                <w:lang w:val="en-GB"/>
              </w:rPr>
            </w:pPr>
            <w:r w:rsidRPr="00D821D1">
              <w:rPr>
                <w:rFonts w:ascii="Century Gothic" w:hAnsi="Century Gothic" w:cs="Century Gothic"/>
                <w:sz w:val="24"/>
                <w:szCs w:val="28"/>
                <w:lang w:val="en-GB"/>
              </w:rPr>
              <w:t>(d)</w:t>
            </w:r>
            <w:r w:rsidRPr="00D821D1">
              <w:rPr>
                <w:rFonts w:ascii="Century Gothic" w:hAnsi="Century Gothic" w:cs="Century Gothic"/>
                <w:sz w:val="24"/>
                <w:szCs w:val="28"/>
                <w:lang w:val="en-GB"/>
              </w:rPr>
              <w:tab/>
              <w:t>Unsecured loans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r w:rsidRPr="00D821D1">
              <w:rPr>
                <w:rFonts w:ascii="Century Gothic" w:hAnsi="Century Gothic" w:cs="Century Gothic"/>
                <w:sz w:val="24"/>
                <w:szCs w:val="28"/>
                <w:lang w:val="en-GB"/>
              </w:rPr>
              <w:t>Total of (1) and (2)</w:t>
            </w:r>
          </w:p>
        </w:tc>
        <w:tc>
          <w:tcPr>
            <w:tcW w:w="1090" w:type="dxa"/>
            <w:tcBorders>
              <w:top w:val="single" w:sz="6" w:space="0" w:color="auto"/>
              <w:left w:val="nil"/>
              <w:bottom w:val="single" w:sz="6" w:space="0" w:color="auto"/>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single" w:sz="6" w:space="0" w:color="auto"/>
              <w:left w:val="nil"/>
              <w:bottom w:val="single" w:sz="6" w:space="0" w:color="auto"/>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lastRenderedPageBreak/>
              <w:t>II</w:t>
            </w: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APPLICATION OF FUNDS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360" w:hanging="360"/>
              <w:rPr>
                <w:rFonts w:ascii="Century Gothic" w:hAnsi="Century Gothic" w:cs="Century Gothic"/>
                <w:sz w:val="24"/>
                <w:szCs w:val="28"/>
                <w:lang w:val="en-GB"/>
              </w:rPr>
            </w:pPr>
            <w:r w:rsidRPr="00D821D1">
              <w:rPr>
                <w:rFonts w:ascii="Century Gothic" w:hAnsi="Century Gothic" w:cs="Century Gothic"/>
                <w:sz w:val="24"/>
                <w:szCs w:val="28"/>
                <w:lang w:val="en-GB"/>
              </w:rPr>
              <w:t>(4)</w:t>
            </w:r>
            <w:r w:rsidRPr="00D821D1">
              <w:rPr>
                <w:rFonts w:ascii="Century Gothic" w:hAnsi="Century Gothic" w:cs="Century Gothic"/>
                <w:sz w:val="24"/>
                <w:szCs w:val="28"/>
                <w:lang w:val="en-GB"/>
              </w:rPr>
              <w:tab/>
              <w:t>Fixed assets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504" w:hanging="144"/>
              <w:rPr>
                <w:rFonts w:ascii="Century Gothic" w:hAnsi="Century Gothic" w:cs="Century Gothic"/>
                <w:sz w:val="24"/>
                <w:szCs w:val="28"/>
                <w:lang w:val="en-GB"/>
              </w:rPr>
            </w:pPr>
            <w:r w:rsidRPr="00D821D1">
              <w:rPr>
                <w:rFonts w:ascii="Century Gothic" w:hAnsi="Century Gothic" w:cs="Century Gothic"/>
                <w:sz w:val="24"/>
                <w:szCs w:val="28"/>
                <w:lang w:val="en-GB"/>
              </w:rPr>
              <w:t>(a)</w:t>
            </w:r>
            <w:r w:rsidRPr="00D821D1">
              <w:rPr>
                <w:rFonts w:ascii="Century Gothic" w:hAnsi="Century Gothic" w:cs="Century Gothic"/>
                <w:sz w:val="24"/>
                <w:szCs w:val="28"/>
                <w:lang w:val="en-GB"/>
              </w:rPr>
              <w:tab/>
              <w:t>Net block ------(Original cost less depreciation)</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504" w:hanging="144"/>
              <w:rPr>
                <w:rFonts w:ascii="Century Gothic" w:hAnsi="Century Gothic" w:cs="Century Gothic"/>
                <w:sz w:val="24"/>
                <w:szCs w:val="28"/>
                <w:lang w:val="en-GB"/>
              </w:rPr>
            </w:pPr>
            <w:r w:rsidRPr="00D821D1">
              <w:rPr>
                <w:rFonts w:ascii="Century Gothic" w:hAnsi="Century Gothic" w:cs="Century Gothic"/>
                <w:sz w:val="24"/>
                <w:szCs w:val="28"/>
                <w:lang w:val="en-GB"/>
              </w:rPr>
              <w:t>(b)</w:t>
            </w:r>
            <w:r w:rsidRPr="00D821D1">
              <w:rPr>
                <w:rFonts w:ascii="Century Gothic" w:hAnsi="Century Gothic" w:cs="Century Gothic"/>
                <w:sz w:val="24"/>
                <w:szCs w:val="28"/>
                <w:lang w:val="en-GB"/>
              </w:rPr>
              <w:tab/>
              <w:t>Capital work-in-progress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360" w:hanging="360"/>
              <w:rPr>
                <w:rFonts w:ascii="Century Gothic" w:hAnsi="Century Gothic" w:cs="Century Gothic"/>
                <w:sz w:val="24"/>
                <w:szCs w:val="28"/>
                <w:lang w:val="en-GB"/>
              </w:rPr>
            </w:pPr>
            <w:r w:rsidRPr="00D821D1">
              <w:rPr>
                <w:rFonts w:ascii="Century Gothic" w:hAnsi="Century Gothic" w:cs="Century Gothic"/>
                <w:sz w:val="24"/>
                <w:szCs w:val="28"/>
                <w:lang w:val="en-GB"/>
              </w:rPr>
              <w:t>(5)</w:t>
            </w:r>
            <w:r w:rsidRPr="00D821D1">
              <w:rPr>
                <w:rFonts w:ascii="Century Gothic" w:hAnsi="Century Gothic" w:cs="Century Gothic"/>
                <w:sz w:val="24"/>
                <w:szCs w:val="28"/>
                <w:lang w:val="en-GB"/>
              </w:rPr>
              <w:tab/>
              <w:t xml:space="preserve">Investments </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504" w:hanging="144"/>
              <w:rPr>
                <w:rFonts w:ascii="Century Gothic" w:hAnsi="Century Gothic" w:cs="Century Gothic"/>
                <w:sz w:val="24"/>
                <w:szCs w:val="28"/>
                <w:lang w:val="en-GB"/>
              </w:rPr>
            </w:pPr>
            <w:r w:rsidRPr="00D821D1">
              <w:rPr>
                <w:rFonts w:ascii="Century Gothic" w:hAnsi="Century Gothic" w:cs="Century Gothic"/>
                <w:sz w:val="24"/>
                <w:szCs w:val="28"/>
                <w:lang w:val="en-GB"/>
              </w:rPr>
              <w:t>(a)</w:t>
            </w:r>
            <w:r w:rsidRPr="00D821D1">
              <w:rPr>
                <w:rFonts w:ascii="Century Gothic" w:hAnsi="Century Gothic" w:cs="Century Gothic"/>
                <w:sz w:val="24"/>
                <w:szCs w:val="28"/>
                <w:lang w:val="en-GB"/>
              </w:rPr>
              <w:tab/>
              <w:t xml:space="preserve">Government securities  </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504" w:hanging="144"/>
              <w:rPr>
                <w:rFonts w:ascii="Century Gothic" w:hAnsi="Century Gothic" w:cs="Century Gothic"/>
                <w:sz w:val="24"/>
                <w:szCs w:val="28"/>
                <w:lang w:val="en-GB"/>
              </w:rPr>
            </w:pPr>
            <w:r w:rsidRPr="00D821D1">
              <w:rPr>
                <w:rFonts w:ascii="Century Gothic" w:hAnsi="Century Gothic" w:cs="Century Gothic"/>
                <w:sz w:val="24"/>
                <w:szCs w:val="28"/>
                <w:lang w:val="en-GB"/>
              </w:rPr>
              <w:t>(b)</w:t>
            </w:r>
            <w:r w:rsidRPr="00D821D1">
              <w:rPr>
                <w:rFonts w:ascii="Century Gothic" w:hAnsi="Century Gothic" w:cs="Century Gothic"/>
                <w:sz w:val="24"/>
                <w:szCs w:val="28"/>
                <w:lang w:val="en-GB"/>
              </w:rPr>
              <w:tab/>
              <w:t>Investment in subsidiary companies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144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648" w:hanging="144"/>
              <w:rPr>
                <w:rFonts w:ascii="Century Gothic" w:hAnsi="Century Gothic" w:cs="Century Gothic"/>
                <w:sz w:val="24"/>
                <w:szCs w:val="28"/>
                <w:lang w:val="en-GB"/>
              </w:rPr>
            </w:pPr>
            <w:r w:rsidRPr="00D821D1">
              <w:rPr>
                <w:rFonts w:ascii="Century Gothic" w:hAnsi="Century Gothic" w:cs="Century Gothic"/>
                <w:sz w:val="24"/>
                <w:szCs w:val="28"/>
                <w:lang w:val="en-GB"/>
              </w:rPr>
              <w:t>(i)</w:t>
            </w:r>
            <w:r w:rsidRPr="00D821D1">
              <w:rPr>
                <w:rFonts w:ascii="Century Gothic" w:hAnsi="Century Gothic" w:cs="Century Gothic"/>
                <w:sz w:val="24"/>
                <w:szCs w:val="28"/>
                <w:lang w:val="en-GB"/>
              </w:rPr>
              <w:tab/>
              <w:t xml:space="preserve">Quoted </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144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144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144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648" w:hanging="144"/>
              <w:rPr>
                <w:rFonts w:ascii="Century Gothic" w:hAnsi="Century Gothic" w:cs="Century Gothic"/>
                <w:sz w:val="24"/>
                <w:szCs w:val="28"/>
                <w:lang w:val="en-GB"/>
              </w:rPr>
            </w:pPr>
            <w:r w:rsidRPr="00D821D1">
              <w:rPr>
                <w:rFonts w:ascii="Century Gothic" w:hAnsi="Century Gothic" w:cs="Century Gothic"/>
                <w:sz w:val="24"/>
                <w:szCs w:val="28"/>
                <w:lang w:val="en-GB"/>
              </w:rPr>
              <w:t>(ii)</w:t>
            </w:r>
            <w:r w:rsidRPr="00D821D1">
              <w:rPr>
                <w:rFonts w:ascii="Century Gothic" w:hAnsi="Century Gothic" w:cs="Century Gothic"/>
                <w:sz w:val="24"/>
                <w:szCs w:val="28"/>
                <w:lang w:val="en-GB"/>
              </w:rPr>
              <w:tab/>
              <w:t>Unquoted</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144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144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504" w:hanging="144"/>
              <w:rPr>
                <w:rFonts w:ascii="Century Gothic" w:hAnsi="Century Gothic" w:cs="Century Gothic"/>
                <w:sz w:val="24"/>
                <w:szCs w:val="28"/>
                <w:lang w:val="en-GB"/>
              </w:rPr>
            </w:pPr>
            <w:r w:rsidRPr="00D821D1">
              <w:rPr>
                <w:rFonts w:ascii="Century Gothic" w:hAnsi="Century Gothic" w:cs="Century Gothic"/>
                <w:sz w:val="24"/>
                <w:szCs w:val="28"/>
                <w:lang w:val="en-GB"/>
              </w:rPr>
              <w:t>(c)</w:t>
            </w:r>
            <w:r w:rsidRPr="00D821D1">
              <w:rPr>
                <w:rFonts w:ascii="Century Gothic" w:hAnsi="Century Gothic" w:cs="Century Gothic"/>
                <w:sz w:val="24"/>
                <w:szCs w:val="28"/>
                <w:lang w:val="en-GB"/>
              </w:rPr>
              <w:tab/>
              <w:t>©others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144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648" w:hanging="144"/>
              <w:rPr>
                <w:rFonts w:ascii="Century Gothic" w:hAnsi="Century Gothic" w:cs="Century Gothic"/>
                <w:sz w:val="24"/>
                <w:szCs w:val="28"/>
                <w:lang w:val="en-GB"/>
              </w:rPr>
            </w:pPr>
            <w:r w:rsidRPr="00D821D1">
              <w:rPr>
                <w:rFonts w:ascii="Century Gothic" w:hAnsi="Century Gothic" w:cs="Century Gothic"/>
                <w:sz w:val="24"/>
                <w:szCs w:val="28"/>
                <w:lang w:val="en-GB"/>
              </w:rPr>
              <w:t>(i)</w:t>
            </w:r>
            <w:r w:rsidRPr="00D821D1">
              <w:rPr>
                <w:rFonts w:ascii="Century Gothic" w:hAnsi="Century Gothic" w:cs="Century Gothic"/>
                <w:sz w:val="24"/>
                <w:szCs w:val="28"/>
                <w:lang w:val="en-GB"/>
              </w:rPr>
              <w:tab/>
              <w:t xml:space="preserve">Quoted </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144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144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144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648" w:hanging="144"/>
              <w:rPr>
                <w:rFonts w:ascii="Century Gothic" w:hAnsi="Century Gothic" w:cs="Century Gothic"/>
                <w:sz w:val="24"/>
                <w:szCs w:val="28"/>
                <w:lang w:val="en-GB"/>
              </w:rPr>
            </w:pPr>
            <w:r w:rsidRPr="00D821D1">
              <w:rPr>
                <w:rFonts w:ascii="Century Gothic" w:hAnsi="Century Gothic" w:cs="Century Gothic"/>
                <w:sz w:val="24"/>
                <w:szCs w:val="28"/>
                <w:lang w:val="en-GB"/>
              </w:rPr>
              <w:t>(ii)</w:t>
            </w:r>
            <w:r w:rsidRPr="00D821D1">
              <w:rPr>
                <w:rFonts w:ascii="Century Gothic" w:hAnsi="Century Gothic" w:cs="Century Gothic"/>
                <w:sz w:val="24"/>
                <w:szCs w:val="28"/>
                <w:lang w:val="en-GB"/>
              </w:rPr>
              <w:tab/>
              <w:t>Unquoted</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144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144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360" w:hanging="360"/>
              <w:rPr>
                <w:rFonts w:ascii="Century Gothic" w:hAnsi="Century Gothic" w:cs="Century Gothic"/>
                <w:sz w:val="24"/>
                <w:szCs w:val="28"/>
                <w:lang w:val="en-GB"/>
              </w:rPr>
            </w:pPr>
            <w:r w:rsidRPr="00D821D1">
              <w:rPr>
                <w:rFonts w:ascii="Century Gothic" w:hAnsi="Century Gothic" w:cs="Century Gothic"/>
                <w:sz w:val="24"/>
                <w:szCs w:val="28"/>
                <w:lang w:val="en-GB"/>
              </w:rPr>
              <w:t>(6)</w:t>
            </w:r>
            <w:r w:rsidRPr="00D821D1">
              <w:rPr>
                <w:rFonts w:ascii="Century Gothic" w:hAnsi="Century Gothic" w:cs="Century Gothic"/>
                <w:sz w:val="24"/>
                <w:szCs w:val="28"/>
                <w:lang w:val="en-GB"/>
              </w:rPr>
              <w:tab/>
              <w:t>(I)  Current assets, loans and advances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504" w:hanging="144"/>
              <w:rPr>
                <w:rFonts w:ascii="Century Gothic" w:hAnsi="Century Gothic" w:cs="Century Gothic"/>
                <w:sz w:val="24"/>
                <w:szCs w:val="28"/>
                <w:lang w:val="en-GB"/>
              </w:rPr>
            </w:pPr>
            <w:r w:rsidRPr="00D821D1">
              <w:rPr>
                <w:rFonts w:ascii="Century Gothic" w:hAnsi="Century Gothic" w:cs="Century Gothic"/>
                <w:sz w:val="24"/>
                <w:szCs w:val="28"/>
                <w:lang w:val="en-GB"/>
              </w:rPr>
              <w:t>(a)</w:t>
            </w:r>
            <w:r w:rsidRPr="00D821D1">
              <w:rPr>
                <w:rFonts w:ascii="Century Gothic" w:hAnsi="Century Gothic" w:cs="Century Gothic"/>
                <w:sz w:val="24"/>
                <w:szCs w:val="28"/>
                <w:lang w:val="en-GB"/>
              </w:rPr>
              <w:tab/>
              <w:t>Inventories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504" w:hanging="144"/>
              <w:rPr>
                <w:rFonts w:ascii="Century Gothic" w:hAnsi="Century Gothic" w:cs="Century Gothic"/>
                <w:sz w:val="24"/>
                <w:szCs w:val="28"/>
                <w:lang w:val="en-GB"/>
              </w:rPr>
            </w:pPr>
            <w:r w:rsidRPr="00D821D1">
              <w:rPr>
                <w:rFonts w:ascii="Century Gothic" w:hAnsi="Century Gothic" w:cs="Century Gothic"/>
                <w:sz w:val="24"/>
                <w:szCs w:val="28"/>
                <w:lang w:val="en-GB"/>
              </w:rPr>
              <w:t>(b)</w:t>
            </w:r>
            <w:r w:rsidRPr="00D821D1">
              <w:rPr>
                <w:rFonts w:ascii="Century Gothic" w:hAnsi="Century Gothic" w:cs="Century Gothic"/>
                <w:sz w:val="24"/>
                <w:szCs w:val="28"/>
                <w:lang w:val="en-GB"/>
              </w:rPr>
              <w:tab/>
              <w:t>Sundry debtors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504" w:hanging="144"/>
              <w:rPr>
                <w:rFonts w:ascii="Century Gothic" w:hAnsi="Century Gothic" w:cs="Century Gothic"/>
                <w:sz w:val="24"/>
                <w:szCs w:val="28"/>
                <w:lang w:val="en-GB"/>
              </w:rPr>
            </w:pPr>
            <w:r w:rsidRPr="00D821D1">
              <w:rPr>
                <w:rFonts w:ascii="Century Gothic" w:hAnsi="Century Gothic" w:cs="Century Gothic"/>
                <w:sz w:val="24"/>
                <w:szCs w:val="28"/>
                <w:lang w:val="en-GB"/>
              </w:rPr>
              <w:t>(c)</w:t>
            </w:r>
            <w:r w:rsidRPr="00D821D1">
              <w:rPr>
                <w:rFonts w:ascii="Century Gothic" w:hAnsi="Century Gothic" w:cs="Century Gothic"/>
                <w:sz w:val="24"/>
                <w:szCs w:val="28"/>
                <w:lang w:val="en-GB"/>
              </w:rPr>
              <w:tab/>
              <w:t>©Cash and bank balances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504" w:hanging="144"/>
              <w:rPr>
                <w:rFonts w:ascii="Century Gothic" w:hAnsi="Century Gothic" w:cs="Century Gothic"/>
                <w:sz w:val="24"/>
                <w:szCs w:val="28"/>
                <w:lang w:val="en-GB"/>
              </w:rPr>
            </w:pPr>
            <w:r w:rsidRPr="00D821D1">
              <w:rPr>
                <w:rFonts w:ascii="Century Gothic" w:hAnsi="Century Gothic" w:cs="Century Gothic"/>
                <w:sz w:val="24"/>
                <w:szCs w:val="28"/>
                <w:lang w:val="en-GB"/>
              </w:rPr>
              <w:t>(d)</w:t>
            </w:r>
            <w:r w:rsidRPr="00D821D1">
              <w:rPr>
                <w:rFonts w:ascii="Century Gothic" w:hAnsi="Century Gothic" w:cs="Century Gothic"/>
                <w:sz w:val="24"/>
                <w:szCs w:val="28"/>
                <w:lang w:val="en-GB"/>
              </w:rPr>
              <w:tab/>
              <w:t>other current assets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504" w:hanging="144"/>
              <w:rPr>
                <w:rFonts w:ascii="Century Gothic" w:hAnsi="Century Gothic" w:cs="Century Gothic"/>
                <w:sz w:val="24"/>
                <w:szCs w:val="28"/>
                <w:lang w:val="en-GB"/>
              </w:rPr>
            </w:pPr>
            <w:r w:rsidRPr="00D821D1">
              <w:rPr>
                <w:rFonts w:ascii="Century Gothic" w:hAnsi="Century Gothic" w:cs="Century Gothic"/>
                <w:sz w:val="24"/>
                <w:szCs w:val="28"/>
                <w:lang w:val="en-GB"/>
              </w:rPr>
              <w:t>(e)</w:t>
            </w:r>
            <w:r w:rsidRPr="00D821D1">
              <w:rPr>
                <w:rFonts w:ascii="Century Gothic" w:hAnsi="Century Gothic" w:cs="Century Gothic"/>
                <w:sz w:val="24"/>
                <w:szCs w:val="28"/>
                <w:lang w:val="en-GB"/>
              </w:rPr>
              <w:tab/>
              <w:t>Loans and advances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144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648" w:hanging="144"/>
              <w:rPr>
                <w:rFonts w:ascii="Century Gothic" w:hAnsi="Century Gothic" w:cs="Century Gothic"/>
                <w:sz w:val="24"/>
                <w:szCs w:val="28"/>
                <w:lang w:val="en-GB"/>
              </w:rPr>
            </w:pPr>
            <w:r w:rsidRPr="00D821D1">
              <w:rPr>
                <w:rFonts w:ascii="Century Gothic" w:hAnsi="Century Gothic" w:cs="Century Gothic"/>
                <w:sz w:val="24"/>
                <w:szCs w:val="28"/>
                <w:lang w:val="en-GB"/>
              </w:rPr>
              <w:t>(i)</w:t>
            </w:r>
            <w:r w:rsidRPr="00D821D1">
              <w:rPr>
                <w:rFonts w:ascii="Century Gothic" w:hAnsi="Century Gothic" w:cs="Century Gothic"/>
                <w:sz w:val="24"/>
                <w:szCs w:val="28"/>
                <w:lang w:val="en-GB"/>
              </w:rPr>
              <w:tab/>
              <w:t xml:space="preserve">To subsidiary companies </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144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144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144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648" w:hanging="144"/>
              <w:rPr>
                <w:rFonts w:ascii="Century Gothic" w:hAnsi="Century Gothic" w:cs="Century Gothic"/>
                <w:sz w:val="24"/>
                <w:szCs w:val="28"/>
                <w:lang w:val="en-GB"/>
              </w:rPr>
            </w:pPr>
            <w:r w:rsidRPr="00D821D1">
              <w:rPr>
                <w:rFonts w:ascii="Century Gothic" w:hAnsi="Century Gothic" w:cs="Century Gothic"/>
                <w:sz w:val="24"/>
                <w:szCs w:val="28"/>
                <w:lang w:val="en-GB"/>
              </w:rPr>
              <w:t>(ii)</w:t>
            </w:r>
            <w:r w:rsidRPr="00D821D1">
              <w:rPr>
                <w:rFonts w:ascii="Century Gothic" w:hAnsi="Century Gothic" w:cs="Century Gothic"/>
                <w:sz w:val="24"/>
                <w:szCs w:val="28"/>
                <w:lang w:val="en-GB"/>
              </w:rPr>
              <w:tab/>
              <w:t>To others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144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144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i/>
                <w:iCs/>
                <w:sz w:val="24"/>
                <w:szCs w:val="28"/>
                <w:lang w:val="en-GB"/>
              </w:rPr>
            </w:pP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i/>
                <w:iCs/>
                <w:sz w:val="24"/>
                <w:szCs w:val="28"/>
                <w:lang w:val="en-GB"/>
              </w:rPr>
            </w:pP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i/>
                <w:iCs/>
                <w:sz w:val="24"/>
                <w:szCs w:val="28"/>
                <w:lang w:val="en-GB"/>
              </w:rPr>
            </w:pP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i/>
                <w:iCs/>
                <w:sz w:val="24"/>
                <w:szCs w:val="28"/>
                <w:lang w:val="en-GB"/>
              </w:rPr>
              <w:t>Less: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 xml:space="preserve">(i)  Current liabilities and provisions </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504" w:hanging="144"/>
              <w:rPr>
                <w:rFonts w:ascii="Century Gothic" w:hAnsi="Century Gothic" w:cs="Century Gothic"/>
                <w:sz w:val="24"/>
                <w:szCs w:val="28"/>
                <w:lang w:val="en-GB"/>
              </w:rPr>
            </w:pPr>
            <w:r w:rsidRPr="00D821D1">
              <w:rPr>
                <w:rFonts w:ascii="Century Gothic" w:hAnsi="Century Gothic" w:cs="Century Gothic"/>
                <w:sz w:val="24"/>
                <w:szCs w:val="28"/>
                <w:lang w:val="en-GB"/>
              </w:rPr>
              <w:t>(a)</w:t>
            </w:r>
            <w:r w:rsidRPr="00D821D1">
              <w:rPr>
                <w:rFonts w:ascii="Century Gothic" w:hAnsi="Century Gothic" w:cs="Century Gothic"/>
                <w:sz w:val="24"/>
                <w:szCs w:val="28"/>
                <w:lang w:val="en-GB"/>
              </w:rPr>
              <w:tab/>
              <w:t>Liabilities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504" w:hanging="144"/>
              <w:rPr>
                <w:rFonts w:ascii="Century Gothic" w:hAnsi="Century Gothic" w:cs="Century Gothic"/>
                <w:sz w:val="24"/>
                <w:szCs w:val="28"/>
                <w:lang w:val="en-GB"/>
              </w:rPr>
            </w:pPr>
            <w:r w:rsidRPr="00D821D1">
              <w:rPr>
                <w:rFonts w:ascii="Century Gothic" w:hAnsi="Century Gothic" w:cs="Century Gothic"/>
                <w:sz w:val="24"/>
                <w:szCs w:val="28"/>
                <w:lang w:val="en-GB"/>
              </w:rPr>
              <w:t>(b)</w:t>
            </w:r>
            <w:r w:rsidRPr="00D821D1">
              <w:rPr>
                <w:rFonts w:ascii="Century Gothic" w:hAnsi="Century Gothic" w:cs="Century Gothic"/>
                <w:sz w:val="24"/>
                <w:szCs w:val="28"/>
                <w:lang w:val="en-GB"/>
              </w:rPr>
              <w:tab/>
              <w:t>Provisions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72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Net current assets (I—ii)</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360" w:hanging="360"/>
              <w:rPr>
                <w:rFonts w:ascii="Century Gothic" w:hAnsi="Century Gothic" w:cs="Century Gothic"/>
                <w:sz w:val="24"/>
                <w:szCs w:val="28"/>
                <w:lang w:val="en-GB"/>
              </w:rPr>
            </w:pPr>
            <w:r w:rsidRPr="00D821D1">
              <w:rPr>
                <w:rFonts w:ascii="Century Gothic" w:hAnsi="Century Gothic" w:cs="Century Gothic"/>
                <w:sz w:val="24"/>
                <w:szCs w:val="28"/>
                <w:lang w:val="en-GB"/>
              </w:rPr>
              <w:t>(4)</w:t>
            </w:r>
            <w:r w:rsidRPr="00D821D1">
              <w:rPr>
                <w:rFonts w:ascii="Century Gothic" w:hAnsi="Century Gothic" w:cs="Century Gothic"/>
                <w:sz w:val="24"/>
                <w:szCs w:val="28"/>
                <w:lang w:val="en-GB"/>
              </w:rPr>
              <w:tab/>
              <w:t>Miscellaneous expenditure to the extent not written off or adjusted</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ind w:left="360" w:hanging="360"/>
              <w:rPr>
                <w:rFonts w:ascii="Century Gothic" w:hAnsi="Century Gothic" w:cs="Century Gothic"/>
                <w:sz w:val="24"/>
                <w:szCs w:val="28"/>
                <w:lang w:val="en-GB"/>
              </w:rPr>
            </w:pPr>
            <w:r w:rsidRPr="00D821D1">
              <w:rPr>
                <w:rFonts w:ascii="Century Gothic" w:hAnsi="Century Gothic" w:cs="Century Gothic"/>
                <w:sz w:val="24"/>
                <w:szCs w:val="28"/>
                <w:lang w:val="en-GB"/>
              </w:rPr>
              <w:t>(5)</w:t>
            </w:r>
            <w:r w:rsidRPr="00D821D1">
              <w:rPr>
                <w:rFonts w:ascii="Century Gothic" w:hAnsi="Century Gothic" w:cs="Century Gothic"/>
                <w:sz w:val="24"/>
                <w:szCs w:val="28"/>
                <w:lang w:val="en-GB"/>
              </w:rPr>
              <w:tab/>
              <w:t xml:space="preserve">Profit and loss account </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 xml:space="preserve">Total of 1 to 5 </w:t>
            </w:r>
          </w:p>
        </w:tc>
        <w:tc>
          <w:tcPr>
            <w:tcW w:w="1090" w:type="dxa"/>
            <w:tcBorders>
              <w:top w:val="single" w:sz="6" w:space="0" w:color="auto"/>
              <w:left w:val="nil"/>
              <w:bottom w:val="single" w:sz="6" w:space="0" w:color="auto"/>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single" w:sz="6" w:space="0" w:color="auto"/>
              <w:left w:val="nil"/>
              <w:bottom w:val="single" w:sz="6" w:space="0" w:color="auto"/>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rPr>
          <w:gridAfter w:val="1"/>
          <w:wAfter w:w="7" w:type="dxa"/>
        </w:trPr>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7969" w:type="dxa"/>
            <w:gridSpan w:val="4"/>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b/>
                <w:bCs/>
                <w:sz w:val="24"/>
                <w:szCs w:val="28"/>
                <w:lang w:val="en-GB"/>
              </w:rPr>
              <w:t>Abridged profit and loss account for the year ending …………….</w:t>
            </w: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rPr>
          <w:gridAfter w:val="1"/>
          <w:wAfter w:w="7" w:type="dxa"/>
        </w:trPr>
        <w:tc>
          <w:tcPr>
            <w:tcW w:w="6349" w:type="dxa"/>
            <w:gridSpan w:val="3"/>
            <w:tcBorders>
              <w:top w:val="single" w:sz="6" w:space="0" w:color="auto"/>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r w:rsidRPr="00D821D1">
              <w:rPr>
                <w:rFonts w:ascii="Century Gothic" w:hAnsi="Century Gothic" w:cs="Century Gothic"/>
                <w:sz w:val="24"/>
                <w:szCs w:val="28"/>
                <w:lang w:val="en-GB"/>
              </w:rPr>
              <w:t xml:space="preserve">Particulars </w:t>
            </w:r>
          </w:p>
        </w:tc>
        <w:tc>
          <w:tcPr>
            <w:tcW w:w="2178" w:type="dxa"/>
            <w:gridSpan w:val="2"/>
            <w:tcBorders>
              <w:top w:val="single" w:sz="6" w:space="0" w:color="auto"/>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r w:rsidRPr="00D821D1">
              <w:rPr>
                <w:rFonts w:ascii="Century Gothic" w:hAnsi="Century Gothic" w:cs="Century Gothic"/>
                <w:sz w:val="24"/>
                <w:szCs w:val="28"/>
                <w:lang w:val="en-GB"/>
              </w:rPr>
              <w:t xml:space="preserve">Figures at the end of </w:t>
            </w:r>
          </w:p>
        </w:tc>
      </w:tr>
      <w:tr w:rsidR="006A6C5F" w:rsidRPr="00D821D1">
        <w:tblPrEx>
          <w:tblCellMar>
            <w:top w:w="0" w:type="dxa"/>
            <w:bottom w:w="0" w:type="dxa"/>
          </w:tblCellMar>
        </w:tblPrEx>
        <w:tc>
          <w:tcPr>
            <w:tcW w:w="558" w:type="dxa"/>
            <w:tcBorders>
              <w:top w:val="nil"/>
              <w:left w:val="nil"/>
              <w:bottom w:val="single" w:sz="6" w:space="0" w:color="auto"/>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single" w:sz="6" w:space="0" w:color="auto"/>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1090" w:type="dxa"/>
            <w:tcBorders>
              <w:top w:val="single" w:sz="6" w:space="0" w:color="auto"/>
              <w:left w:val="nil"/>
              <w:bottom w:val="single" w:sz="6" w:space="0" w:color="auto"/>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r w:rsidRPr="00D821D1">
              <w:rPr>
                <w:rFonts w:ascii="Century Gothic" w:hAnsi="Century Gothic" w:cs="Century Gothic"/>
                <w:sz w:val="24"/>
                <w:szCs w:val="28"/>
                <w:lang w:val="en-GB"/>
              </w:rPr>
              <w:t>Current financial year</w:t>
            </w:r>
          </w:p>
        </w:tc>
        <w:tc>
          <w:tcPr>
            <w:tcW w:w="1095" w:type="dxa"/>
            <w:gridSpan w:val="2"/>
            <w:tcBorders>
              <w:top w:val="single" w:sz="6" w:space="0" w:color="auto"/>
              <w:left w:val="nil"/>
              <w:bottom w:val="single" w:sz="6" w:space="0" w:color="auto"/>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r w:rsidRPr="00D821D1">
              <w:rPr>
                <w:rFonts w:ascii="Century Gothic" w:hAnsi="Century Gothic" w:cs="Century Gothic"/>
                <w:sz w:val="24"/>
                <w:szCs w:val="28"/>
                <w:lang w:val="en-GB"/>
              </w:rPr>
              <w:t>Previous financial year</w:t>
            </w: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I.</w:t>
            </w: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 xml:space="preserve">Income </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numPr>
                <w:ilvl w:val="0"/>
                <w:numId w:val="1"/>
              </w:numPr>
              <w:autoSpaceDE w:val="0"/>
              <w:autoSpaceDN w:val="0"/>
              <w:adjustRightInd w:val="0"/>
              <w:spacing w:after="0"/>
              <w:ind w:left="360" w:hanging="360"/>
              <w:rPr>
                <w:rFonts w:ascii="Century Gothic" w:hAnsi="Century Gothic" w:cs="Century Gothic"/>
                <w:sz w:val="24"/>
                <w:szCs w:val="28"/>
                <w:lang w:val="en-GB"/>
              </w:rPr>
            </w:pPr>
            <w:r w:rsidRPr="00D821D1">
              <w:rPr>
                <w:rFonts w:ascii="Century Gothic" w:hAnsi="Century Gothic" w:cs="Century Gothic"/>
                <w:sz w:val="24"/>
                <w:szCs w:val="28"/>
                <w:lang w:val="en-GB"/>
              </w:rPr>
              <w:t>Sales/services rendered (Details to be given separately as per Annexure)</w:t>
            </w:r>
          </w:p>
        </w:tc>
        <w:tc>
          <w:tcPr>
            <w:tcW w:w="1090" w:type="dxa"/>
            <w:tcBorders>
              <w:top w:val="nil"/>
              <w:left w:val="nil"/>
              <w:bottom w:val="nil"/>
              <w:right w:val="nil"/>
            </w:tcBorders>
          </w:tcPr>
          <w:p w:rsidR="006A6C5F" w:rsidRPr="00D821D1" w:rsidRDefault="006A6C5F" w:rsidP="00D821D1">
            <w:pPr>
              <w:widowControl w:val="0"/>
              <w:numPr>
                <w:ilvl w:val="12"/>
                <w:numId w:val="0"/>
              </w:numPr>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numPr>
                <w:ilvl w:val="12"/>
                <w:numId w:val="0"/>
              </w:numPr>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numPr>
                <w:ilvl w:val="12"/>
                <w:numId w:val="0"/>
              </w:numPr>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numPr>
                <w:ilvl w:val="0"/>
                <w:numId w:val="1"/>
              </w:numPr>
              <w:autoSpaceDE w:val="0"/>
              <w:autoSpaceDN w:val="0"/>
              <w:adjustRightInd w:val="0"/>
              <w:spacing w:after="0"/>
              <w:ind w:left="360" w:hanging="360"/>
              <w:rPr>
                <w:rFonts w:ascii="Century Gothic" w:hAnsi="Century Gothic" w:cs="Century Gothic"/>
                <w:sz w:val="24"/>
                <w:szCs w:val="28"/>
                <w:lang w:val="en-GB"/>
              </w:rPr>
            </w:pPr>
            <w:r w:rsidRPr="00D821D1">
              <w:rPr>
                <w:rFonts w:ascii="Century Gothic" w:hAnsi="Century Gothic" w:cs="Century Gothic"/>
                <w:sz w:val="24"/>
                <w:szCs w:val="28"/>
                <w:lang w:val="en-GB"/>
              </w:rPr>
              <w:t>Dividend</w:t>
            </w:r>
          </w:p>
        </w:tc>
        <w:tc>
          <w:tcPr>
            <w:tcW w:w="1090" w:type="dxa"/>
            <w:tcBorders>
              <w:top w:val="nil"/>
              <w:left w:val="nil"/>
              <w:bottom w:val="nil"/>
              <w:right w:val="nil"/>
            </w:tcBorders>
          </w:tcPr>
          <w:p w:rsidR="006A6C5F" w:rsidRPr="00D821D1" w:rsidRDefault="006A6C5F" w:rsidP="00D821D1">
            <w:pPr>
              <w:widowControl w:val="0"/>
              <w:numPr>
                <w:ilvl w:val="12"/>
                <w:numId w:val="0"/>
              </w:numPr>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numPr>
                <w:ilvl w:val="12"/>
                <w:numId w:val="0"/>
              </w:numPr>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numPr>
                <w:ilvl w:val="12"/>
                <w:numId w:val="0"/>
              </w:numPr>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numPr>
                <w:ilvl w:val="0"/>
                <w:numId w:val="1"/>
              </w:numPr>
              <w:autoSpaceDE w:val="0"/>
              <w:autoSpaceDN w:val="0"/>
              <w:adjustRightInd w:val="0"/>
              <w:spacing w:after="0"/>
              <w:ind w:left="360" w:hanging="360"/>
              <w:rPr>
                <w:rFonts w:ascii="Century Gothic" w:hAnsi="Century Gothic" w:cs="Century Gothic"/>
                <w:sz w:val="24"/>
                <w:szCs w:val="28"/>
                <w:lang w:val="en-GB"/>
              </w:rPr>
            </w:pPr>
            <w:r w:rsidRPr="00D821D1">
              <w:rPr>
                <w:rFonts w:ascii="Century Gothic" w:hAnsi="Century Gothic" w:cs="Century Gothic"/>
                <w:sz w:val="24"/>
                <w:szCs w:val="28"/>
                <w:lang w:val="en-GB"/>
              </w:rPr>
              <w:t xml:space="preserve">Interest </w:t>
            </w:r>
          </w:p>
        </w:tc>
        <w:tc>
          <w:tcPr>
            <w:tcW w:w="1090" w:type="dxa"/>
            <w:tcBorders>
              <w:top w:val="nil"/>
              <w:left w:val="nil"/>
              <w:bottom w:val="nil"/>
              <w:right w:val="nil"/>
            </w:tcBorders>
          </w:tcPr>
          <w:p w:rsidR="006A6C5F" w:rsidRPr="00D821D1" w:rsidRDefault="006A6C5F" w:rsidP="00D821D1">
            <w:pPr>
              <w:widowControl w:val="0"/>
              <w:numPr>
                <w:ilvl w:val="12"/>
                <w:numId w:val="0"/>
              </w:numPr>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numPr>
                <w:ilvl w:val="12"/>
                <w:numId w:val="0"/>
              </w:numPr>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numPr>
                <w:ilvl w:val="12"/>
                <w:numId w:val="0"/>
              </w:numPr>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numPr>
                <w:ilvl w:val="0"/>
                <w:numId w:val="1"/>
              </w:numPr>
              <w:autoSpaceDE w:val="0"/>
              <w:autoSpaceDN w:val="0"/>
              <w:adjustRightInd w:val="0"/>
              <w:spacing w:after="0"/>
              <w:ind w:left="360" w:hanging="360"/>
              <w:rPr>
                <w:rFonts w:ascii="Century Gothic" w:hAnsi="Century Gothic" w:cs="Century Gothic"/>
                <w:sz w:val="24"/>
                <w:szCs w:val="28"/>
                <w:lang w:val="en-GB"/>
              </w:rPr>
            </w:pPr>
            <w:r w:rsidRPr="00D821D1">
              <w:rPr>
                <w:rFonts w:ascii="Century Gothic" w:hAnsi="Century Gothic" w:cs="Century Gothic"/>
                <w:sz w:val="24"/>
                <w:szCs w:val="28"/>
                <w:lang w:val="en-GB"/>
              </w:rPr>
              <w:t>Other income (See Note 5)</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Total</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II</w:t>
            </w: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i/>
                <w:iCs/>
                <w:sz w:val="24"/>
                <w:szCs w:val="28"/>
                <w:lang w:val="en-GB"/>
              </w:rPr>
            </w:pPr>
            <w:r w:rsidRPr="00D821D1">
              <w:rPr>
                <w:rFonts w:ascii="Century Gothic" w:hAnsi="Century Gothic" w:cs="Century Gothic"/>
                <w:i/>
                <w:iCs/>
                <w:sz w:val="24"/>
                <w:szCs w:val="28"/>
                <w:lang w:val="en-GB"/>
              </w:rPr>
              <w:t>Expenditure</w:t>
            </w:r>
          </w:p>
        </w:tc>
        <w:tc>
          <w:tcPr>
            <w:tcW w:w="1090" w:type="dxa"/>
            <w:tcBorders>
              <w:top w:val="single" w:sz="6" w:space="0" w:color="auto"/>
              <w:left w:val="nil"/>
              <w:bottom w:val="single" w:sz="6" w:space="0" w:color="auto"/>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single" w:sz="6" w:space="0" w:color="auto"/>
              <w:left w:val="nil"/>
              <w:bottom w:val="single" w:sz="6" w:space="0" w:color="auto"/>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 xml:space="preserve">Cost of goods consumed/sold </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(i)   opening stock</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(ii)   Purchases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rPr>
          <w:gridAfter w:val="1"/>
          <w:wAfter w:w="7" w:type="dxa"/>
        </w:trPr>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4224"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Less: Closing stock</w:t>
            </w:r>
          </w:p>
        </w:tc>
        <w:tc>
          <w:tcPr>
            <w:tcW w:w="1567" w:type="dxa"/>
            <w:tcBorders>
              <w:top w:val="single" w:sz="6" w:space="0" w:color="auto"/>
              <w:left w:val="nil"/>
              <w:bottom w:val="single" w:sz="6" w:space="0" w:color="auto"/>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88"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Manufacturing expenses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Selling expenses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Salaries, wages and other employee</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 xml:space="preserve">      benefits managerial remuneration </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 xml:space="preserve">Interest </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 xml:space="preserve">Depreciation </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Auditor’s remuneration</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 xml:space="preserve">Provisions for  (I)   Doubtful debts; and </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 xml:space="preserve">                       (ii)   Other contingencies (to be specified)</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Any other expenses (See Note 5)</w:t>
            </w:r>
          </w:p>
        </w:tc>
        <w:tc>
          <w:tcPr>
            <w:tcW w:w="1090" w:type="dxa"/>
            <w:tcBorders>
              <w:top w:val="single" w:sz="6" w:space="0" w:color="auto"/>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single" w:sz="6" w:space="0" w:color="auto"/>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r w:rsidRPr="00D821D1">
              <w:rPr>
                <w:rFonts w:ascii="Century Gothic" w:hAnsi="Century Gothic" w:cs="Century Gothic"/>
                <w:sz w:val="24"/>
                <w:szCs w:val="28"/>
                <w:lang w:val="en-GB"/>
              </w:rPr>
              <w:t>Total</w:t>
            </w:r>
          </w:p>
        </w:tc>
        <w:tc>
          <w:tcPr>
            <w:tcW w:w="1090" w:type="dxa"/>
            <w:tcBorders>
              <w:top w:val="single" w:sz="6" w:space="0" w:color="auto"/>
              <w:left w:val="nil"/>
              <w:bottom w:val="single" w:sz="6" w:space="0" w:color="auto"/>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single" w:sz="6" w:space="0" w:color="auto"/>
              <w:left w:val="nil"/>
              <w:bottom w:val="single" w:sz="6" w:space="0" w:color="auto"/>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III</w:t>
            </w: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Profit/loss before tax (I-II)</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IV</w:t>
            </w: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Provision for taxation</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V</w:t>
            </w: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Profit/loss after tax</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VI</w:t>
            </w: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Proposed dividend:</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---preference shares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---Equity shares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VII</w:t>
            </w: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Transfer to reserves/surplus</w:t>
            </w: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r w:rsidR="006A6C5F" w:rsidRPr="00D821D1">
        <w:tblPrEx>
          <w:tblCellMar>
            <w:top w:w="0" w:type="dxa"/>
            <w:bottom w:w="0" w:type="dxa"/>
          </w:tblCellMar>
        </w:tblPrEx>
        <w:tc>
          <w:tcPr>
            <w:tcW w:w="558" w:type="dxa"/>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5791"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tc>
        <w:tc>
          <w:tcPr>
            <w:tcW w:w="1090" w:type="dxa"/>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c>
          <w:tcPr>
            <w:tcW w:w="1095" w:type="dxa"/>
            <w:gridSpan w:val="2"/>
            <w:tcBorders>
              <w:top w:val="nil"/>
              <w:left w:val="nil"/>
              <w:bottom w:val="nil"/>
              <w:right w:val="nil"/>
            </w:tcBorders>
          </w:tcPr>
          <w:p w:rsidR="006A6C5F" w:rsidRPr="00D821D1" w:rsidRDefault="006A6C5F" w:rsidP="00D821D1">
            <w:pPr>
              <w:widowControl w:val="0"/>
              <w:autoSpaceDE w:val="0"/>
              <w:autoSpaceDN w:val="0"/>
              <w:adjustRightInd w:val="0"/>
              <w:spacing w:after="0"/>
              <w:jc w:val="center"/>
              <w:rPr>
                <w:rFonts w:ascii="Century Gothic" w:hAnsi="Century Gothic" w:cs="Century Gothic"/>
                <w:sz w:val="24"/>
                <w:szCs w:val="28"/>
                <w:lang w:val="en-GB"/>
              </w:rPr>
            </w:pPr>
          </w:p>
        </w:tc>
      </w:tr>
    </w:tbl>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p>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Notes to the abridged balance sheet and the abridged profit and loss account.</w:t>
      </w:r>
    </w:p>
    <w:p w:rsidR="006A6C5F" w:rsidRPr="00D821D1" w:rsidRDefault="006A6C5F" w:rsidP="00D821D1">
      <w:pPr>
        <w:widowControl w:val="0"/>
        <w:numPr>
          <w:ilvl w:val="0"/>
          <w:numId w:val="2"/>
        </w:numPr>
        <w:autoSpaceDE w:val="0"/>
        <w:autoSpaceDN w:val="0"/>
        <w:adjustRightInd w:val="0"/>
        <w:spacing w:after="0"/>
        <w:ind w:left="360" w:hanging="360"/>
        <w:rPr>
          <w:rFonts w:ascii="Century Gothic" w:hAnsi="Century Gothic" w:cs="Century Gothic"/>
          <w:sz w:val="24"/>
          <w:szCs w:val="28"/>
          <w:lang w:val="en-GB"/>
        </w:rPr>
      </w:pPr>
      <w:r w:rsidRPr="00D821D1">
        <w:rPr>
          <w:rFonts w:ascii="Century Gothic" w:hAnsi="Century Gothic" w:cs="Century Gothic"/>
          <w:sz w:val="24"/>
          <w:szCs w:val="28"/>
          <w:lang w:val="en-GB"/>
        </w:rPr>
        <w:t>The amounts to be shown here should be the same as shown in the corresponding aggregated heads in the accounts as per Schedule VI or as near thereto as possible.</w:t>
      </w:r>
    </w:p>
    <w:p w:rsidR="006A6C5F" w:rsidRPr="00D821D1" w:rsidRDefault="006A6C5F" w:rsidP="00D821D1">
      <w:pPr>
        <w:widowControl w:val="0"/>
        <w:numPr>
          <w:ilvl w:val="0"/>
          <w:numId w:val="2"/>
        </w:numPr>
        <w:autoSpaceDE w:val="0"/>
        <w:autoSpaceDN w:val="0"/>
        <w:adjustRightInd w:val="0"/>
        <w:spacing w:after="0"/>
        <w:ind w:left="360" w:hanging="360"/>
        <w:rPr>
          <w:rFonts w:ascii="Century Gothic" w:hAnsi="Century Gothic" w:cs="Century Gothic"/>
          <w:sz w:val="24"/>
          <w:szCs w:val="28"/>
          <w:lang w:val="en-GB"/>
        </w:rPr>
      </w:pPr>
      <w:r w:rsidRPr="00D821D1">
        <w:rPr>
          <w:rFonts w:ascii="Century Gothic" w:hAnsi="Century Gothic" w:cs="Century Gothic"/>
          <w:sz w:val="24"/>
          <w:szCs w:val="28"/>
          <w:lang w:val="en-GB"/>
        </w:rPr>
        <w:t>The total amount of contingent liabilities and that of capital commitments should be shown separately.</w:t>
      </w:r>
    </w:p>
    <w:p w:rsidR="006A6C5F" w:rsidRPr="00D821D1" w:rsidRDefault="006A6C5F" w:rsidP="00D821D1">
      <w:pPr>
        <w:widowControl w:val="0"/>
        <w:numPr>
          <w:ilvl w:val="0"/>
          <w:numId w:val="2"/>
        </w:numPr>
        <w:autoSpaceDE w:val="0"/>
        <w:autoSpaceDN w:val="0"/>
        <w:adjustRightInd w:val="0"/>
        <w:spacing w:after="0"/>
        <w:ind w:left="360" w:hanging="360"/>
        <w:rPr>
          <w:rFonts w:ascii="Century Gothic" w:hAnsi="Century Gothic" w:cs="Century Gothic"/>
          <w:sz w:val="24"/>
          <w:szCs w:val="28"/>
          <w:lang w:val="en-GB"/>
        </w:rPr>
      </w:pPr>
      <w:r w:rsidRPr="00D821D1">
        <w:rPr>
          <w:rFonts w:ascii="Century Gothic" w:hAnsi="Century Gothic" w:cs="Century Gothic"/>
          <w:sz w:val="24"/>
          <w:szCs w:val="28"/>
          <w:lang w:val="en-GB"/>
        </w:rPr>
        <w:t xml:space="preserve">All notes forming part of </w:t>
      </w:r>
      <w:proofErr w:type="gramStart"/>
      <w:r w:rsidRPr="00D821D1">
        <w:rPr>
          <w:rFonts w:ascii="Century Gothic" w:hAnsi="Century Gothic" w:cs="Century Gothic"/>
          <w:sz w:val="24"/>
          <w:szCs w:val="28"/>
          <w:lang w:val="en-GB"/>
        </w:rPr>
        <w:t>the  accounts</w:t>
      </w:r>
      <w:proofErr w:type="gramEnd"/>
      <w:r w:rsidRPr="00D821D1">
        <w:rPr>
          <w:rFonts w:ascii="Century Gothic" w:hAnsi="Century Gothic" w:cs="Century Gothic"/>
          <w:sz w:val="24"/>
          <w:szCs w:val="28"/>
          <w:lang w:val="en-GB"/>
        </w:rPr>
        <w:t xml:space="preserve"> as per Schedule VI to which specific attention has been drawn by the auditors or which form a subject-matter of qualification by the auditor should be reproduced.</w:t>
      </w:r>
    </w:p>
    <w:p w:rsidR="006A6C5F" w:rsidRPr="00D821D1" w:rsidRDefault="006A6C5F" w:rsidP="00D821D1">
      <w:pPr>
        <w:widowControl w:val="0"/>
        <w:numPr>
          <w:ilvl w:val="0"/>
          <w:numId w:val="2"/>
        </w:numPr>
        <w:autoSpaceDE w:val="0"/>
        <w:autoSpaceDN w:val="0"/>
        <w:adjustRightInd w:val="0"/>
        <w:spacing w:after="0"/>
        <w:ind w:left="360" w:hanging="360"/>
        <w:rPr>
          <w:rFonts w:ascii="Century Gothic" w:hAnsi="Century Gothic" w:cs="Century Gothic"/>
          <w:sz w:val="24"/>
          <w:szCs w:val="28"/>
          <w:lang w:val="en-GB"/>
        </w:rPr>
      </w:pPr>
      <w:r w:rsidRPr="00D821D1">
        <w:rPr>
          <w:rFonts w:ascii="Century Gothic" w:hAnsi="Century Gothic" w:cs="Century Gothic"/>
          <w:sz w:val="24"/>
          <w:szCs w:val="28"/>
          <w:lang w:val="en-GB"/>
        </w:rPr>
        <w:t xml:space="preserve">If fixed assets are </w:t>
      </w:r>
      <w:proofErr w:type="spellStart"/>
      <w:r w:rsidRPr="00D821D1">
        <w:rPr>
          <w:rFonts w:ascii="Century Gothic" w:hAnsi="Century Gothic" w:cs="Century Gothic"/>
          <w:sz w:val="24"/>
          <w:szCs w:val="28"/>
          <w:lang w:val="en-GB"/>
        </w:rPr>
        <w:t>revalued</w:t>
      </w:r>
      <w:proofErr w:type="spellEnd"/>
      <w:r w:rsidRPr="00D821D1">
        <w:rPr>
          <w:rFonts w:ascii="Century Gothic" w:hAnsi="Century Gothic" w:cs="Century Gothic"/>
          <w:sz w:val="24"/>
          <w:szCs w:val="28"/>
          <w:lang w:val="en-GB"/>
        </w:rPr>
        <w:t>, the amount of revaluation should be shown separately for the first five years subsequent to the date of revaluation.</w:t>
      </w:r>
    </w:p>
    <w:p w:rsidR="006A6C5F" w:rsidRPr="00D821D1" w:rsidRDefault="006A6C5F" w:rsidP="00D821D1">
      <w:pPr>
        <w:widowControl w:val="0"/>
        <w:numPr>
          <w:ilvl w:val="0"/>
          <w:numId w:val="2"/>
        </w:numPr>
        <w:autoSpaceDE w:val="0"/>
        <w:autoSpaceDN w:val="0"/>
        <w:adjustRightInd w:val="0"/>
        <w:spacing w:after="0"/>
        <w:ind w:left="360" w:hanging="360"/>
        <w:rPr>
          <w:rFonts w:ascii="Century Gothic" w:hAnsi="Century Gothic" w:cs="Century Gothic"/>
          <w:i/>
          <w:iCs/>
          <w:sz w:val="24"/>
          <w:szCs w:val="28"/>
          <w:lang w:val="en-GB"/>
        </w:rPr>
      </w:pPr>
      <w:r w:rsidRPr="00D821D1">
        <w:rPr>
          <w:rFonts w:ascii="Century Gothic" w:hAnsi="Century Gothic" w:cs="Century Gothic"/>
          <w:sz w:val="24"/>
          <w:szCs w:val="28"/>
          <w:lang w:val="en-GB"/>
        </w:rPr>
        <w:t xml:space="preserve">Any item which constitutes 20% or more of the total income of or expenditure (including provision) should be shown separately. </w:t>
      </w:r>
    </w:p>
    <w:p w:rsidR="006A6C5F" w:rsidRPr="00D821D1" w:rsidRDefault="006A6C5F" w:rsidP="00D821D1">
      <w:pPr>
        <w:widowControl w:val="0"/>
        <w:numPr>
          <w:ilvl w:val="0"/>
          <w:numId w:val="2"/>
        </w:numPr>
        <w:autoSpaceDE w:val="0"/>
        <w:autoSpaceDN w:val="0"/>
        <w:adjustRightInd w:val="0"/>
        <w:spacing w:after="0"/>
        <w:ind w:left="360" w:hanging="360"/>
        <w:rPr>
          <w:rFonts w:ascii="Century Gothic" w:hAnsi="Century Gothic" w:cs="Century Gothic"/>
          <w:i/>
          <w:iCs/>
          <w:sz w:val="24"/>
          <w:szCs w:val="28"/>
          <w:lang w:val="en-GB"/>
        </w:rPr>
      </w:pPr>
      <w:proofErr w:type="gramStart"/>
      <w:r w:rsidRPr="00D821D1">
        <w:rPr>
          <w:rFonts w:ascii="Century Gothic" w:hAnsi="Century Gothic" w:cs="Century Gothic"/>
          <w:sz w:val="24"/>
          <w:szCs w:val="28"/>
          <w:lang w:val="en-GB"/>
        </w:rPr>
        <w:t>Amount ,</w:t>
      </w:r>
      <w:proofErr w:type="gramEnd"/>
      <w:r w:rsidRPr="00D821D1">
        <w:rPr>
          <w:rFonts w:ascii="Century Gothic" w:hAnsi="Century Gothic" w:cs="Century Gothic"/>
          <w:sz w:val="24"/>
          <w:szCs w:val="28"/>
          <w:lang w:val="en-GB"/>
        </w:rPr>
        <w:t xml:space="preserve"> if material, by which any items shown in the profit and loss account are affected by any change in the basis of accounting, should be disclosed  separately.</w:t>
      </w:r>
    </w:p>
    <w:p w:rsidR="006A6C5F" w:rsidRPr="00D821D1" w:rsidRDefault="006A6C5F" w:rsidP="00D821D1">
      <w:pPr>
        <w:widowControl w:val="0"/>
        <w:numPr>
          <w:ilvl w:val="0"/>
          <w:numId w:val="2"/>
        </w:numPr>
        <w:autoSpaceDE w:val="0"/>
        <w:autoSpaceDN w:val="0"/>
        <w:adjustRightInd w:val="0"/>
        <w:spacing w:after="0"/>
        <w:ind w:left="360" w:hanging="360"/>
        <w:rPr>
          <w:rFonts w:ascii="Century Gothic" w:hAnsi="Century Gothic" w:cs="Century Gothic"/>
          <w:i/>
          <w:iCs/>
          <w:sz w:val="24"/>
          <w:szCs w:val="28"/>
          <w:lang w:val="en-GB"/>
        </w:rPr>
      </w:pPr>
      <w:r w:rsidRPr="00D821D1">
        <w:rPr>
          <w:rFonts w:ascii="Century Gothic" w:hAnsi="Century Gothic" w:cs="Century Gothic"/>
          <w:sz w:val="24"/>
          <w:szCs w:val="28"/>
          <w:lang w:val="en-GB"/>
        </w:rPr>
        <w:t>If no provision is made for depreciation, the fact that no provision has been made shall be stated along with the quantum of arrears of depreciation computed in accordance with section 205(2) of the Act.</w:t>
      </w:r>
    </w:p>
    <w:p w:rsidR="006A6C5F" w:rsidRPr="00D821D1" w:rsidRDefault="006A6C5F" w:rsidP="00D821D1">
      <w:pPr>
        <w:widowControl w:val="0"/>
        <w:numPr>
          <w:ilvl w:val="0"/>
          <w:numId w:val="2"/>
        </w:numPr>
        <w:autoSpaceDE w:val="0"/>
        <w:autoSpaceDN w:val="0"/>
        <w:adjustRightInd w:val="0"/>
        <w:spacing w:after="0"/>
        <w:ind w:left="360" w:hanging="360"/>
        <w:rPr>
          <w:rFonts w:ascii="Century Gothic" w:hAnsi="Century Gothic" w:cs="Century Gothic"/>
          <w:i/>
          <w:iCs/>
          <w:sz w:val="24"/>
          <w:szCs w:val="28"/>
          <w:lang w:val="en-GB"/>
        </w:rPr>
      </w:pPr>
      <w:r w:rsidRPr="00D821D1">
        <w:rPr>
          <w:rFonts w:ascii="Century Gothic" w:hAnsi="Century Gothic" w:cs="Century Gothic"/>
          <w:sz w:val="24"/>
          <w:szCs w:val="28"/>
          <w:lang w:val="en-GB"/>
        </w:rPr>
        <w:t>Market value of quoted investments (both for current year as also of previous year) should be mentioned.</w:t>
      </w:r>
    </w:p>
    <w:p w:rsidR="006A6C5F" w:rsidRPr="00D821D1" w:rsidRDefault="006A6C5F" w:rsidP="00D821D1">
      <w:pPr>
        <w:widowControl w:val="0"/>
        <w:numPr>
          <w:ilvl w:val="0"/>
          <w:numId w:val="2"/>
        </w:numPr>
        <w:autoSpaceDE w:val="0"/>
        <w:autoSpaceDN w:val="0"/>
        <w:adjustRightInd w:val="0"/>
        <w:spacing w:after="0"/>
        <w:ind w:left="360" w:hanging="360"/>
        <w:rPr>
          <w:rFonts w:ascii="Century Gothic" w:hAnsi="Century Gothic" w:cs="Century Gothic"/>
          <w:i/>
          <w:iCs/>
          <w:sz w:val="24"/>
          <w:szCs w:val="28"/>
          <w:lang w:val="en-GB"/>
        </w:rPr>
      </w:pPr>
      <w:r w:rsidRPr="00D821D1">
        <w:rPr>
          <w:rFonts w:ascii="Century Gothic" w:hAnsi="Century Gothic" w:cs="Century Gothic"/>
          <w:sz w:val="24"/>
          <w:szCs w:val="28"/>
          <w:lang w:val="en-GB"/>
        </w:rPr>
        <w:t xml:space="preserve">Any noted forming part of the accounts as per Schedule VI which is in the nature of any explanation </w:t>
      </w:r>
      <w:proofErr w:type="gramStart"/>
      <w:r w:rsidRPr="00D821D1">
        <w:rPr>
          <w:rFonts w:ascii="Century Gothic" w:hAnsi="Century Gothic" w:cs="Century Gothic"/>
          <w:sz w:val="24"/>
          <w:szCs w:val="28"/>
          <w:lang w:val="en-GB"/>
        </w:rPr>
        <w:t>regarding  compliance</w:t>
      </w:r>
      <w:proofErr w:type="gramEnd"/>
      <w:r w:rsidRPr="00D821D1">
        <w:rPr>
          <w:rFonts w:ascii="Century Gothic" w:hAnsi="Century Gothic" w:cs="Century Gothic"/>
          <w:sz w:val="24"/>
          <w:szCs w:val="28"/>
          <w:lang w:val="en-GB"/>
        </w:rPr>
        <w:t xml:space="preserve"> with any law should be reproduced.</w:t>
      </w:r>
    </w:p>
    <w:p w:rsidR="006A6C5F" w:rsidRPr="00D821D1" w:rsidRDefault="006A6C5F" w:rsidP="00D821D1">
      <w:pPr>
        <w:widowControl w:val="0"/>
        <w:numPr>
          <w:ilvl w:val="0"/>
          <w:numId w:val="2"/>
        </w:numPr>
        <w:autoSpaceDE w:val="0"/>
        <w:autoSpaceDN w:val="0"/>
        <w:adjustRightInd w:val="0"/>
        <w:spacing w:after="0"/>
        <w:ind w:left="360" w:hanging="360"/>
        <w:rPr>
          <w:rFonts w:ascii="Century Gothic" w:hAnsi="Century Gothic" w:cs="Century Gothic"/>
          <w:i/>
          <w:iCs/>
          <w:sz w:val="24"/>
          <w:szCs w:val="28"/>
          <w:lang w:val="en-GB"/>
        </w:rPr>
      </w:pPr>
      <w:r w:rsidRPr="00D821D1">
        <w:rPr>
          <w:rFonts w:ascii="Century Gothic" w:hAnsi="Century Gothic" w:cs="Century Gothic"/>
          <w:sz w:val="24"/>
          <w:szCs w:val="28"/>
          <w:lang w:val="en-GB"/>
        </w:rPr>
        <w:t>Important ratio performance such as sales/total assets ratio, operating profit/capital employed ratio, return on net worth profit/sales ratio.</w:t>
      </w:r>
    </w:p>
    <w:p w:rsidR="006A6C5F" w:rsidRPr="00D821D1" w:rsidRDefault="006A6C5F" w:rsidP="00D821D1">
      <w:pPr>
        <w:widowControl w:val="0"/>
        <w:numPr>
          <w:ilvl w:val="0"/>
          <w:numId w:val="2"/>
        </w:numPr>
        <w:autoSpaceDE w:val="0"/>
        <w:autoSpaceDN w:val="0"/>
        <w:adjustRightInd w:val="0"/>
        <w:spacing w:after="0"/>
        <w:ind w:left="360" w:hanging="360"/>
        <w:rPr>
          <w:rFonts w:ascii="Century Gothic" w:hAnsi="Century Gothic" w:cs="Century Gothic"/>
          <w:i/>
          <w:iCs/>
          <w:sz w:val="24"/>
          <w:szCs w:val="28"/>
          <w:lang w:val="en-GB"/>
        </w:rPr>
      </w:pPr>
      <w:r w:rsidRPr="00D821D1">
        <w:rPr>
          <w:rFonts w:ascii="Century Gothic" w:hAnsi="Century Gothic" w:cs="Century Gothic"/>
          <w:sz w:val="24"/>
          <w:szCs w:val="28"/>
          <w:lang w:val="en-GB"/>
        </w:rPr>
        <w:t>Details of installed capacity and productivity of main items manufactured should be disclosed.</w:t>
      </w:r>
    </w:p>
    <w:p w:rsidR="006A6C5F" w:rsidRPr="00D821D1" w:rsidRDefault="006A6C5F" w:rsidP="00D821D1">
      <w:pPr>
        <w:widowControl w:val="0"/>
        <w:numPr>
          <w:ilvl w:val="0"/>
          <w:numId w:val="2"/>
        </w:numPr>
        <w:autoSpaceDE w:val="0"/>
        <w:autoSpaceDN w:val="0"/>
        <w:adjustRightInd w:val="0"/>
        <w:spacing w:after="0"/>
        <w:ind w:left="360" w:hanging="360"/>
        <w:rPr>
          <w:rFonts w:ascii="Century Gothic" w:hAnsi="Century Gothic" w:cs="Century Gothic"/>
          <w:i/>
          <w:iCs/>
          <w:sz w:val="24"/>
          <w:szCs w:val="28"/>
          <w:lang w:val="en-GB"/>
        </w:rPr>
      </w:pPr>
      <w:r w:rsidRPr="00D821D1">
        <w:rPr>
          <w:rFonts w:ascii="Century Gothic" w:hAnsi="Century Gothic" w:cs="Century Gothic"/>
          <w:sz w:val="24"/>
          <w:szCs w:val="28"/>
          <w:lang w:val="en-GB"/>
        </w:rPr>
        <w:t>Notes in the abridged balance sheet should be given the same number as in the main balance sheet.</w:t>
      </w:r>
    </w:p>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ab/>
        <w:t>The above stated salient features of balance sheet and profit and loss account should be authenticated in the same manner as the main accounts are to be authenticated.</w:t>
      </w:r>
    </w:p>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ab/>
      </w:r>
      <w:proofErr w:type="gramStart"/>
      <w:r w:rsidRPr="00D821D1">
        <w:rPr>
          <w:rFonts w:ascii="Century Gothic" w:hAnsi="Century Gothic" w:cs="Century Gothic"/>
          <w:sz w:val="24"/>
          <w:szCs w:val="28"/>
          <w:lang w:val="en-GB"/>
        </w:rPr>
        <w:t>Auditor’s report and the comments, if any, of the Comptroller and Auditor-General of India under sub-section (4) of section 619, in the respect of Government companies and companies under section 619B.</w:t>
      </w:r>
      <w:proofErr w:type="gramEnd"/>
    </w:p>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lastRenderedPageBreak/>
        <w:t>DIRECTORS REPORT</w:t>
      </w:r>
    </w:p>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ab/>
      </w:r>
      <w:proofErr w:type="gramStart"/>
      <w:r w:rsidRPr="00D821D1">
        <w:rPr>
          <w:rFonts w:ascii="Century Gothic" w:hAnsi="Century Gothic" w:cs="Century Gothic"/>
          <w:sz w:val="24"/>
          <w:szCs w:val="28"/>
          <w:lang w:val="en-GB"/>
        </w:rPr>
        <w:t>Should be given in full except the information under clause (e) of sub-section (1) and sub-section (2A) of section 217.</w:t>
      </w:r>
      <w:proofErr w:type="gramEnd"/>
    </w:p>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ab/>
        <w:t>Subsidiary company/companies--------</w:t>
      </w:r>
    </w:p>
    <w:p w:rsidR="006A6C5F" w:rsidRPr="00D821D1" w:rsidRDefault="006A6C5F" w:rsidP="00D821D1">
      <w:pPr>
        <w:widowControl w:val="0"/>
        <w:autoSpaceDE w:val="0"/>
        <w:autoSpaceDN w:val="0"/>
        <w:adjustRightInd w:val="0"/>
        <w:spacing w:after="0"/>
        <w:rPr>
          <w:rFonts w:ascii="Century Gothic" w:hAnsi="Century Gothic" w:cs="Century Gothic"/>
          <w:sz w:val="24"/>
          <w:szCs w:val="28"/>
          <w:lang w:val="en-GB"/>
        </w:rPr>
      </w:pPr>
      <w:r w:rsidRPr="00D821D1">
        <w:rPr>
          <w:rFonts w:ascii="Century Gothic" w:hAnsi="Century Gothic" w:cs="Century Gothic"/>
          <w:sz w:val="24"/>
          <w:szCs w:val="28"/>
          <w:lang w:val="en-GB"/>
        </w:rPr>
        <w:tab/>
        <w:t>Every holding company shall give a statement relating to its subsidiary company/companies to be furnished in pursuance of clauses (e), (f) and (g) of sub-section (1) of section 212.</w:t>
      </w:r>
    </w:p>
    <w:p w:rsidR="006A6C5F" w:rsidRPr="00D821D1" w:rsidRDefault="006A6C5F" w:rsidP="00D821D1">
      <w:pPr>
        <w:widowControl w:val="0"/>
        <w:autoSpaceDE w:val="0"/>
        <w:autoSpaceDN w:val="0"/>
        <w:adjustRightInd w:val="0"/>
        <w:spacing w:after="0"/>
        <w:jc w:val="right"/>
        <w:rPr>
          <w:rFonts w:ascii="Century Gothic" w:hAnsi="Century Gothic" w:cs="Century Gothic"/>
          <w:sz w:val="24"/>
          <w:szCs w:val="28"/>
          <w:lang w:val="en-GB"/>
        </w:rPr>
      </w:pPr>
      <w:r w:rsidRPr="00D821D1">
        <w:rPr>
          <w:rFonts w:ascii="Century Gothic" w:hAnsi="Century Gothic" w:cs="Century Gothic"/>
          <w:sz w:val="24"/>
          <w:szCs w:val="28"/>
          <w:lang w:val="en-GB"/>
        </w:rPr>
        <w:t xml:space="preserve">(Signed by Directors/Secretary in the </w:t>
      </w:r>
    </w:p>
    <w:p w:rsidR="006A6C5F" w:rsidRPr="00D821D1" w:rsidRDefault="006A6C5F" w:rsidP="00D821D1">
      <w:pPr>
        <w:widowControl w:val="0"/>
        <w:autoSpaceDE w:val="0"/>
        <w:autoSpaceDN w:val="0"/>
        <w:adjustRightInd w:val="0"/>
        <w:spacing w:after="0"/>
        <w:jc w:val="right"/>
        <w:rPr>
          <w:rFonts w:ascii="Century Gothic" w:hAnsi="Century Gothic" w:cs="Century Gothic"/>
          <w:sz w:val="24"/>
          <w:szCs w:val="28"/>
          <w:lang w:val="en-GB"/>
        </w:rPr>
      </w:pPr>
      <w:proofErr w:type="gramStart"/>
      <w:r w:rsidRPr="00D821D1">
        <w:rPr>
          <w:rFonts w:ascii="Century Gothic" w:hAnsi="Century Gothic" w:cs="Century Gothic"/>
          <w:sz w:val="24"/>
          <w:szCs w:val="28"/>
          <w:lang w:val="en-GB"/>
        </w:rPr>
        <w:t>manner</w:t>
      </w:r>
      <w:proofErr w:type="gramEnd"/>
      <w:r w:rsidRPr="00D821D1">
        <w:rPr>
          <w:rFonts w:ascii="Century Gothic" w:hAnsi="Century Gothic" w:cs="Century Gothic"/>
          <w:sz w:val="24"/>
          <w:szCs w:val="28"/>
          <w:lang w:val="en-GB"/>
        </w:rPr>
        <w:t xml:space="preserve"> prescribed in section 215(1).</w:t>
      </w:r>
    </w:p>
    <w:bookmarkEnd w:id="0"/>
    <w:p w:rsidR="006A6C5F" w:rsidRPr="00D821D1" w:rsidRDefault="006A6C5F" w:rsidP="00D821D1">
      <w:pPr>
        <w:widowControl w:val="0"/>
        <w:autoSpaceDE w:val="0"/>
        <w:autoSpaceDN w:val="0"/>
        <w:adjustRightInd w:val="0"/>
        <w:spacing w:after="0"/>
        <w:rPr>
          <w:rFonts w:ascii="Century Gothic" w:hAnsi="Century Gothic" w:cs="Century Gothic"/>
          <w:i/>
          <w:iCs/>
          <w:sz w:val="24"/>
          <w:szCs w:val="28"/>
          <w:lang w:val="en-GB"/>
        </w:rPr>
      </w:pPr>
    </w:p>
    <w:sectPr w:rsidR="006A6C5F" w:rsidRPr="00D821D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71E83"/>
    <w:multiLevelType w:val="singleLevel"/>
    <w:tmpl w:val="3786661A"/>
    <w:lvl w:ilvl="0">
      <w:start w:val="1"/>
      <w:numFmt w:val="decimal"/>
      <w:lvlText w:val="%1"/>
      <w:legacy w:legacy="1" w:legacySpace="0" w:legacyIndent="360"/>
      <w:lvlJc w:val="left"/>
      <w:rPr>
        <w:rFonts w:ascii="Century Gothic" w:hAnsi="Century Gothic" w:cs="Times New Roman" w:hint="default"/>
      </w:rPr>
    </w:lvl>
  </w:abstractNum>
  <w:abstractNum w:abstractNumId="1">
    <w:nsid w:val="557E0B21"/>
    <w:multiLevelType w:val="singleLevel"/>
    <w:tmpl w:val="3786661A"/>
    <w:lvl w:ilvl="0">
      <w:start w:val="1"/>
      <w:numFmt w:val="decimal"/>
      <w:lvlText w:val="%1"/>
      <w:legacy w:legacy="1" w:legacySpace="0" w:legacyIndent="360"/>
      <w:lvlJc w:val="left"/>
      <w:rPr>
        <w:rFonts w:ascii="Century Gothic" w:hAnsi="Century Gothic"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5F"/>
    <w:rsid w:val="006A6C5F"/>
    <w:rsid w:val="00D8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2024-06-17T09:13:00Z</dcterms:created>
  <dcterms:modified xsi:type="dcterms:W3CDTF">2024-06-17T09:13:00Z</dcterms:modified>
</cp:coreProperties>
</file>