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17" w:rsidRPr="00D37D2F" w:rsidRDefault="00A40417" w:rsidP="00D37D2F">
      <w:pPr>
        <w:spacing w:after="0"/>
        <w:ind w:left="720"/>
        <w:jc w:val="center"/>
        <w:rPr>
          <w:rFonts w:ascii="Century Gothic" w:hAnsi="Century Gothic" w:cs="Arial"/>
          <w:b/>
          <w:bCs/>
          <w:sz w:val="24"/>
          <w:szCs w:val="24"/>
        </w:rPr>
      </w:pPr>
      <w:bookmarkStart w:id="0" w:name="C17223"/>
      <w:bookmarkStart w:id="1" w:name="_GoBack"/>
      <w:r w:rsidRPr="00D37D2F">
        <w:rPr>
          <w:rFonts w:ascii="Century Gothic" w:hAnsi="Century Gothic" w:cs="Arial"/>
          <w:b/>
          <w:bCs/>
          <w:sz w:val="24"/>
          <w:szCs w:val="24"/>
        </w:rPr>
        <w:t>MAIN OBJECT CLAUSE OF FURNISHING</w:t>
      </w:r>
      <w:bookmarkEnd w:id="0"/>
    </w:p>
    <w:p w:rsidR="00A40417" w:rsidRPr="00D37D2F" w:rsidRDefault="00A40417" w:rsidP="00D37D2F">
      <w:pPr>
        <w:spacing w:after="0"/>
        <w:ind w:left="720"/>
        <w:jc w:val="center"/>
        <w:rPr>
          <w:rFonts w:ascii="Century Gothic" w:hAnsi="Century Gothic" w:cs="Arial"/>
          <w:sz w:val="24"/>
          <w:szCs w:val="24"/>
        </w:rPr>
      </w:pPr>
    </w:p>
    <w:p w:rsidR="00A40417" w:rsidRPr="00D37D2F" w:rsidRDefault="00A40417" w:rsidP="00D37D2F">
      <w:pPr>
        <w:spacing w:after="0"/>
        <w:ind w:left="720"/>
        <w:jc w:val="both"/>
        <w:rPr>
          <w:rFonts w:ascii="Century Gothic" w:hAnsi="Century Gothic" w:cs="Arial"/>
          <w:sz w:val="24"/>
          <w:szCs w:val="24"/>
        </w:rPr>
      </w:pPr>
      <w:r w:rsidRPr="00D37D2F">
        <w:rPr>
          <w:rFonts w:ascii="Century Gothic" w:hAnsi="Century Gothic" w:cs="Arial"/>
          <w:sz w:val="24"/>
          <w:szCs w:val="24"/>
        </w:rPr>
        <w:t xml:space="preserve">To carry on the business of manufacturers, dealers, exporters, importers, hirers, repairers, </w:t>
      </w:r>
      <w:proofErr w:type="spellStart"/>
      <w:r w:rsidRPr="00D37D2F">
        <w:rPr>
          <w:rFonts w:ascii="Century Gothic" w:hAnsi="Century Gothic" w:cs="Arial"/>
          <w:sz w:val="24"/>
          <w:szCs w:val="24"/>
        </w:rPr>
        <w:t>storers</w:t>
      </w:r>
      <w:proofErr w:type="spellEnd"/>
      <w:r w:rsidRPr="00D37D2F">
        <w:rPr>
          <w:rFonts w:ascii="Century Gothic" w:hAnsi="Century Gothic" w:cs="Arial"/>
          <w:sz w:val="24"/>
          <w:szCs w:val="24"/>
        </w:rPr>
        <w:t xml:space="preserve"> and </w:t>
      </w:r>
      <w:proofErr w:type="spellStart"/>
      <w:r w:rsidRPr="00D37D2F">
        <w:rPr>
          <w:rFonts w:ascii="Century Gothic" w:hAnsi="Century Gothic" w:cs="Arial"/>
          <w:sz w:val="24"/>
          <w:szCs w:val="24"/>
        </w:rPr>
        <w:t>warehousers</w:t>
      </w:r>
      <w:proofErr w:type="spellEnd"/>
      <w:r w:rsidRPr="00D37D2F">
        <w:rPr>
          <w:rFonts w:ascii="Century Gothic" w:hAnsi="Century Gothic" w:cs="Arial"/>
          <w:sz w:val="24"/>
          <w:szCs w:val="24"/>
        </w:rPr>
        <w:t xml:space="preserve"> of wooden </w:t>
      </w:r>
      <w:proofErr w:type="spellStart"/>
      <w:r w:rsidRPr="00D37D2F">
        <w:rPr>
          <w:rFonts w:ascii="Century Gothic" w:hAnsi="Century Gothic" w:cs="Arial"/>
          <w:sz w:val="24"/>
          <w:szCs w:val="24"/>
        </w:rPr>
        <w:t>furnitures</w:t>
      </w:r>
      <w:proofErr w:type="spellEnd"/>
      <w:r w:rsidRPr="00D37D2F">
        <w:rPr>
          <w:rFonts w:ascii="Century Gothic" w:hAnsi="Century Gothic" w:cs="Arial"/>
          <w:sz w:val="24"/>
          <w:szCs w:val="24"/>
        </w:rPr>
        <w:t xml:space="preserve">, tabular </w:t>
      </w:r>
      <w:proofErr w:type="spellStart"/>
      <w:r w:rsidRPr="00D37D2F">
        <w:rPr>
          <w:rFonts w:ascii="Century Gothic" w:hAnsi="Century Gothic" w:cs="Arial"/>
          <w:sz w:val="24"/>
          <w:szCs w:val="24"/>
        </w:rPr>
        <w:t>furnitures</w:t>
      </w:r>
      <w:proofErr w:type="spellEnd"/>
      <w:r w:rsidRPr="00D37D2F">
        <w:rPr>
          <w:rFonts w:ascii="Century Gothic" w:hAnsi="Century Gothic" w:cs="Arial"/>
          <w:sz w:val="24"/>
          <w:szCs w:val="24"/>
        </w:rPr>
        <w:t>, doors and windows, frames, household utensils and glass goods, fittings, hardware fittings, carpets, linoleums and other floor coverings, curtains and other home furnishings and household requisites of all kinds and all things capable of being used therewith or in the maintenance, repair or manufacture thereof, and to enter into hire purchase agreements with the purchasers of such items and articles and to negotiate, assign, mortgage or pledge such agreements for cash, or otherwise or the payments due or rights accruing thereunder.</w:t>
      </w:r>
    </w:p>
    <w:bookmarkEnd w:id="1"/>
    <w:p w:rsidR="009155B2" w:rsidRPr="00D37D2F" w:rsidRDefault="009155B2" w:rsidP="00D37D2F">
      <w:pPr>
        <w:rPr>
          <w:rFonts w:ascii="Century Gothic" w:hAnsi="Century Gothic" w:cs="Arial"/>
          <w:sz w:val="24"/>
        </w:rPr>
      </w:pPr>
    </w:p>
    <w:sectPr w:rsidR="009155B2" w:rsidRPr="00D37D2F"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F2"/>
    <w:rsid w:val="009155B2"/>
    <w:rsid w:val="00A40417"/>
    <w:rsid w:val="00B92603"/>
    <w:rsid w:val="00D37D2F"/>
    <w:rsid w:val="00E2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8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AIN%20OBJECT%20CLAUSE%20OF%20FURNISH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 OBJECT CLAUSE OF FURNISHING</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2024-06-17T09:54:00Z</dcterms:created>
  <dcterms:modified xsi:type="dcterms:W3CDTF">2024-06-17T09:54:00Z</dcterms:modified>
</cp:coreProperties>
</file>