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EF9" w:rsidRPr="00BE416B" w:rsidRDefault="000A0EF9" w:rsidP="00BE416B">
      <w:pPr>
        <w:spacing w:after="0"/>
        <w:ind w:left="720"/>
        <w:jc w:val="center"/>
        <w:rPr>
          <w:rFonts w:ascii="Century Gothic" w:hAnsi="Century Gothic" w:cs="Arial"/>
          <w:b/>
          <w:bCs/>
          <w:sz w:val="24"/>
          <w:szCs w:val="24"/>
        </w:rPr>
      </w:pPr>
      <w:bookmarkStart w:id="0" w:name="C17222"/>
      <w:bookmarkStart w:id="1" w:name="_GoBack"/>
      <w:r w:rsidRPr="00BE416B">
        <w:rPr>
          <w:rFonts w:ascii="Century Gothic" w:hAnsi="Century Gothic" w:cs="Arial"/>
          <w:b/>
          <w:bCs/>
          <w:sz w:val="24"/>
          <w:szCs w:val="24"/>
        </w:rPr>
        <w:t>MAIN OBJECT CLAUSE OF JEWELLERS</w:t>
      </w:r>
      <w:bookmarkEnd w:id="0"/>
    </w:p>
    <w:p w:rsidR="000A0EF9" w:rsidRPr="00BE416B" w:rsidRDefault="000A0EF9" w:rsidP="00BE416B">
      <w:pPr>
        <w:spacing w:after="0"/>
        <w:ind w:left="720"/>
        <w:rPr>
          <w:rFonts w:ascii="Century Gothic" w:hAnsi="Century Gothic" w:cs="Arial"/>
          <w:sz w:val="24"/>
          <w:szCs w:val="24"/>
        </w:rPr>
      </w:pPr>
      <w:r w:rsidRPr="00BE416B">
        <w:rPr>
          <w:rFonts w:ascii="Century Gothic" w:hAnsi="Century Gothic" w:cs="Arial"/>
          <w:sz w:val="24"/>
          <w:szCs w:val="24"/>
        </w:rPr>
        <w:t> </w:t>
      </w:r>
    </w:p>
    <w:p w:rsidR="000A0EF9" w:rsidRPr="00BE416B" w:rsidRDefault="000A0EF9" w:rsidP="00BE416B">
      <w:pPr>
        <w:spacing w:after="0"/>
        <w:ind w:left="720"/>
        <w:jc w:val="both"/>
        <w:rPr>
          <w:rFonts w:ascii="Century Gothic" w:hAnsi="Century Gothic" w:cs="Arial"/>
          <w:sz w:val="24"/>
          <w:szCs w:val="24"/>
        </w:rPr>
      </w:pPr>
      <w:r w:rsidRPr="00BE416B">
        <w:rPr>
          <w:rFonts w:ascii="Century Gothic" w:hAnsi="Century Gothic" w:cs="Arial"/>
          <w:sz w:val="24"/>
          <w:szCs w:val="24"/>
        </w:rPr>
        <w:t xml:space="preserve">To carry on the business of </w:t>
      </w:r>
      <w:proofErr w:type="spellStart"/>
      <w:r w:rsidRPr="00BE416B">
        <w:rPr>
          <w:rFonts w:ascii="Century Gothic" w:hAnsi="Century Gothic" w:cs="Arial"/>
          <w:sz w:val="24"/>
          <w:szCs w:val="24"/>
        </w:rPr>
        <w:t>jewellers</w:t>
      </w:r>
      <w:proofErr w:type="spellEnd"/>
      <w:r w:rsidRPr="00BE416B">
        <w:rPr>
          <w:rFonts w:ascii="Century Gothic" w:hAnsi="Century Gothic" w:cs="Arial"/>
          <w:sz w:val="24"/>
          <w:szCs w:val="24"/>
        </w:rPr>
        <w:t>, gold and silversmith, dealers in gold, bullion, precious metals and stones and articles of gold, bullion, precious metals and stones and as manufacturers and dealers in gold and silver plate, plated articles, watches, clocks and appliances of every description and as bankers, commission agents and general merchants.</w:t>
      </w:r>
    </w:p>
    <w:bookmarkEnd w:id="1"/>
    <w:p w:rsidR="009155B2" w:rsidRPr="00BE416B" w:rsidRDefault="009155B2" w:rsidP="00BE416B">
      <w:pPr>
        <w:rPr>
          <w:rFonts w:ascii="Century Gothic" w:hAnsi="Century Gothic" w:cs="Arial"/>
          <w:sz w:val="24"/>
        </w:rPr>
      </w:pPr>
    </w:p>
    <w:sectPr w:rsidR="009155B2" w:rsidRPr="00BE416B" w:rsidSect="009155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22D"/>
    <w:rsid w:val="000A0EF9"/>
    <w:rsid w:val="00101373"/>
    <w:rsid w:val="00512987"/>
    <w:rsid w:val="009155B2"/>
    <w:rsid w:val="00A53D68"/>
    <w:rsid w:val="00B3322D"/>
    <w:rsid w:val="00BE4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5B2"/>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5B2"/>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96072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ValSpeQ%20DVD\VS\deed\Rtf%20Doc\Compony\MAIN%20OBJECT%20CLAUSE%20OF%20JEWELLER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MAIN OBJECT CLAUSE OF JEWELLERS</Template>
  <TotalTime>0</TotalTime>
  <Pages>1</Pages>
  <Words>58</Words>
  <Characters>334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2024-06-17T09:54:00Z</dcterms:created>
  <dcterms:modified xsi:type="dcterms:W3CDTF">2024-06-17T09:54:00Z</dcterms:modified>
</cp:coreProperties>
</file>