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BD" w:rsidRPr="00F40E81" w:rsidRDefault="009C03BD" w:rsidP="00F40E81">
      <w:pPr>
        <w:pStyle w:val="NormalWeb"/>
        <w:spacing w:line="276" w:lineRule="auto"/>
        <w:jc w:val="both"/>
        <w:rPr>
          <w:rFonts w:ascii="Century Gothic" w:hAnsi="Century Gothic" w:cs="Arial"/>
          <w:b/>
          <w:bCs/>
          <w:szCs w:val="22"/>
        </w:rPr>
      </w:pPr>
      <w:bookmarkStart w:id="0" w:name="_GoBack"/>
      <w:r w:rsidRPr="00F40E81">
        <w:rPr>
          <w:rFonts w:ascii="Century Gothic" w:hAnsi="Century Gothic" w:cs="Arial"/>
          <w:b/>
          <w:bCs/>
          <w:szCs w:val="22"/>
        </w:rPr>
        <w:t>NOTICE UNDER SECTION 20(3) OF THE ARBITRATION ACT, 1940</w:t>
      </w:r>
    </w:p>
    <w:p w:rsidR="009C03BD" w:rsidRPr="00F40E81" w:rsidRDefault="009C03BD" w:rsidP="00F40E81">
      <w:pPr>
        <w:pStyle w:val="NormalWeb"/>
        <w:spacing w:line="276" w:lineRule="auto"/>
        <w:jc w:val="both"/>
        <w:rPr>
          <w:rFonts w:ascii="Century Gothic" w:hAnsi="Century Gothic" w:cs="Arial"/>
          <w:i/>
          <w:iCs/>
          <w:szCs w:val="22"/>
        </w:rPr>
      </w:pPr>
      <w:r w:rsidRPr="00F40E81">
        <w:rPr>
          <w:rFonts w:ascii="Century Gothic" w:hAnsi="Century Gothic" w:cs="Arial"/>
          <w:szCs w:val="22"/>
        </w:rPr>
        <w:t xml:space="preserve">IN THE HIGH COURT OF JUDICATURE AT FORT WILLIAM IN BENGAL ORDINARY ORIGINAL CIVIL </w:t>
      </w:r>
      <w:proofErr w:type="gramStart"/>
      <w:r w:rsidRPr="00F40E81">
        <w:rPr>
          <w:rFonts w:ascii="Century Gothic" w:hAnsi="Century Gothic" w:cs="Arial"/>
          <w:szCs w:val="22"/>
        </w:rPr>
        <w:t>JURISDICTION</w:t>
      </w:r>
      <w:r w:rsidRPr="00F40E81">
        <w:rPr>
          <w:rFonts w:ascii="Century Gothic" w:hAnsi="Century Gothic" w:cs="Arial"/>
          <w:i/>
          <w:iCs/>
          <w:szCs w:val="22"/>
        </w:rPr>
        <w:t>(</w:t>
      </w:r>
      <w:proofErr w:type="gramEnd"/>
      <w:r w:rsidRPr="00F40E81">
        <w:rPr>
          <w:rFonts w:ascii="Century Gothic" w:hAnsi="Century Gothic" w:cs="Arial"/>
          <w:i/>
          <w:iCs/>
          <w:szCs w:val="22"/>
        </w:rPr>
        <w:t xml:space="preserve">Title) </w:t>
      </w:r>
    </w:p>
    <w:p w:rsidR="009C03BD" w:rsidRPr="00F40E81" w:rsidRDefault="009C03BD" w:rsidP="00F40E81">
      <w:pPr>
        <w:pStyle w:val="NormalWeb"/>
        <w:spacing w:line="276" w:lineRule="auto"/>
        <w:jc w:val="center"/>
        <w:rPr>
          <w:rFonts w:ascii="Century Gothic" w:hAnsi="Century Gothic" w:cs="Arial"/>
          <w:szCs w:val="22"/>
        </w:rPr>
      </w:pPr>
      <w:r w:rsidRPr="00F40E81">
        <w:rPr>
          <w:rFonts w:ascii="Century Gothic" w:hAnsi="Century Gothic" w:cs="Arial"/>
          <w:szCs w:val="22"/>
        </w:rPr>
        <w:t>(Suit No..................... of.................... 19</w:t>
      </w:r>
      <w:proofErr w:type="gramStart"/>
      <w:r w:rsidRPr="00F40E81">
        <w:rPr>
          <w:rFonts w:ascii="Century Gothic" w:hAnsi="Century Gothic" w:cs="Arial"/>
          <w:szCs w:val="22"/>
        </w:rPr>
        <w:t>..................... )</w:t>
      </w:r>
      <w:proofErr w:type="gramEnd"/>
    </w:p>
    <w:p w:rsidR="009C03BD" w:rsidRPr="00F40E81" w:rsidRDefault="009C03BD" w:rsidP="00F40E81">
      <w:pPr>
        <w:pStyle w:val="NormalWeb"/>
        <w:spacing w:line="276" w:lineRule="auto"/>
        <w:rPr>
          <w:rFonts w:ascii="Century Gothic" w:hAnsi="Century Gothic" w:cs="Arial"/>
          <w:szCs w:val="22"/>
        </w:rPr>
      </w:pPr>
      <w:r w:rsidRPr="00F40E81">
        <w:rPr>
          <w:rFonts w:ascii="Century Gothic" w:hAnsi="Century Gothic" w:cs="Arial"/>
          <w:szCs w:val="22"/>
        </w:rPr>
        <w:t>To</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 xml:space="preserve">The defendant </w:t>
      </w:r>
      <w:proofErr w:type="spellStart"/>
      <w:proofErr w:type="gramStart"/>
      <w:r w:rsidRPr="00F40E81">
        <w:rPr>
          <w:rFonts w:ascii="Century Gothic" w:hAnsi="Century Gothic" w:cs="Arial"/>
          <w:szCs w:val="22"/>
        </w:rPr>
        <w:t>abovenamed</w:t>
      </w:r>
      <w:proofErr w:type="spellEnd"/>
      <w:r w:rsidRPr="00F40E81">
        <w:rPr>
          <w:rFonts w:ascii="Century Gothic" w:hAnsi="Century Gothic" w:cs="Arial"/>
          <w:szCs w:val="22"/>
        </w:rPr>
        <w:t>,....................</w:t>
      </w:r>
      <w:proofErr w:type="gramEnd"/>
      <w:r w:rsidRPr="00F40E81">
        <w:rPr>
          <w:rFonts w:ascii="Century Gothic" w:hAnsi="Century Gothic" w:cs="Arial"/>
          <w:szCs w:val="22"/>
        </w:rPr>
        <w:t xml:space="preserve"> </w:t>
      </w:r>
      <w:proofErr w:type="gramStart"/>
      <w:r w:rsidRPr="00F40E81">
        <w:rPr>
          <w:rFonts w:ascii="Century Gothic" w:hAnsi="Century Gothic" w:cs="Arial"/>
          <w:szCs w:val="22"/>
        </w:rPr>
        <w:t>whereas</w:t>
      </w:r>
      <w:proofErr w:type="gramEnd"/>
      <w:r w:rsidRPr="00F40E81">
        <w:rPr>
          <w:rFonts w:ascii="Century Gothic" w:hAnsi="Century Gothic" w:cs="Arial"/>
          <w:szCs w:val="22"/>
        </w:rPr>
        <w:t xml:space="preserve"> the plaintiff </w:t>
      </w:r>
      <w:proofErr w:type="spellStart"/>
      <w:r w:rsidRPr="00F40E81">
        <w:rPr>
          <w:rFonts w:ascii="Century Gothic" w:hAnsi="Century Gothic" w:cs="Arial"/>
          <w:szCs w:val="22"/>
        </w:rPr>
        <w:t>abovenamed</w:t>
      </w:r>
      <w:proofErr w:type="spellEnd"/>
      <w:r w:rsidRPr="00F40E81">
        <w:rPr>
          <w:rFonts w:ascii="Century Gothic" w:hAnsi="Century Gothic" w:cs="Arial"/>
          <w:szCs w:val="22"/>
        </w:rPr>
        <w:t xml:space="preserve"> has on the.................... </w:t>
      </w:r>
      <w:proofErr w:type="gramStart"/>
      <w:r w:rsidRPr="00F40E81">
        <w:rPr>
          <w:rFonts w:ascii="Century Gothic" w:hAnsi="Century Gothic" w:cs="Arial"/>
          <w:szCs w:val="22"/>
        </w:rPr>
        <w:t>day</w:t>
      </w:r>
      <w:proofErr w:type="gramEnd"/>
      <w:r w:rsidRPr="00F40E81">
        <w:rPr>
          <w:rFonts w:ascii="Century Gothic" w:hAnsi="Century Gothic" w:cs="Arial"/>
          <w:szCs w:val="22"/>
        </w:rPr>
        <w:t xml:space="preserve"> of.................... 19..................... made an application which has been numbered and registered as Suit No..................... </w:t>
      </w:r>
      <w:proofErr w:type="gramStart"/>
      <w:r w:rsidRPr="00F40E81">
        <w:rPr>
          <w:rFonts w:ascii="Century Gothic" w:hAnsi="Century Gothic" w:cs="Arial"/>
          <w:szCs w:val="22"/>
        </w:rPr>
        <w:t>of</w:t>
      </w:r>
      <w:proofErr w:type="gramEnd"/>
      <w:r w:rsidRPr="00F40E81">
        <w:rPr>
          <w:rFonts w:ascii="Century Gothic" w:hAnsi="Century Gothic" w:cs="Arial"/>
          <w:szCs w:val="22"/>
        </w:rPr>
        <w:t xml:space="preserve">.................... 19.................... for and order that the arbitration agreement dated this day </w:t>
      </w:r>
      <w:proofErr w:type="gramStart"/>
      <w:r w:rsidRPr="00F40E81">
        <w:rPr>
          <w:rFonts w:ascii="Century Gothic" w:hAnsi="Century Gothic" w:cs="Arial"/>
          <w:szCs w:val="22"/>
        </w:rPr>
        <w:t>of ....................</w:t>
      </w:r>
      <w:proofErr w:type="gramEnd"/>
      <w:r w:rsidRPr="00F40E81">
        <w:rPr>
          <w:rFonts w:ascii="Century Gothic" w:hAnsi="Century Gothic" w:cs="Arial"/>
          <w:szCs w:val="22"/>
        </w:rPr>
        <w:t xml:space="preserve"> of................... and entered into by and between the plaintiff and you the defendant be filed, you are hereby required under sub-section (3) of Section 20 of the Arbitration Act, 1940, being served with this notice, to appear before the Court on the.................... </w:t>
      </w:r>
      <w:proofErr w:type="gramStart"/>
      <w:r w:rsidRPr="00F40E81">
        <w:rPr>
          <w:rFonts w:ascii="Century Gothic" w:hAnsi="Century Gothic" w:cs="Arial"/>
          <w:szCs w:val="22"/>
        </w:rPr>
        <w:t>day</w:t>
      </w:r>
      <w:proofErr w:type="gramEnd"/>
      <w:r w:rsidRPr="00F40E81">
        <w:rPr>
          <w:rFonts w:ascii="Century Gothic" w:hAnsi="Century Gothic" w:cs="Arial"/>
          <w:szCs w:val="22"/>
        </w:rPr>
        <w:t xml:space="preserve"> of.................... 19.................... at.................... </w:t>
      </w:r>
      <w:proofErr w:type="gramStart"/>
      <w:r w:rsidRPr="00F40E81">
        <w:rPr>
          <w:rFonts w:ascii="Century Gothic" w:hAnsi="Century Gothic" w:cs="Arial"/>
          <w:szCs w:val="22"/>
        </w:rPr>
        <w:t>o’clock</w:t>
      </w:r>
      <w:proofErr w:type="gramEnd"/>
      <w:r w:rsidRPr="00F40E81">
        <w:rPr>
          <w:rFonts w:ascii="Century Gothic" w:hAnsi="Century Gothic" w:cs="Arial"/>
          <w:szCs w:val="22"/>
        </w:rPr>
        <w:t xml:space="preserve"> in the fore noon to show cause why the said agreement should not be filed.</w:t>
      </w:r>
    </w:p>
    <w:p w:rsidR="009C03BD" w:rsidRPr="00F40E81" w:rsidRDefault="009C03BD" w:rsidP="00F40E81">
      <w:pPr>
        <w:pStyle w:val="NormalWeb"/>
        <w:spacing w:line="276" w:lineRule="auto"/>
        <w:jc w:val="right"/>
        <w:rPr>
          <w:rFonts w:ascii="Century Gothic" w:hAnsi="Century Gothic" w:cs="Arial"/>
          <w:szCs w:val="22"/>
        </w:rPr>
      </w:pPr>
      <w:r w:rsidRPr="00F40E81">
        <w:rPr>
          <w:rFonts w:ascii="Century Gothic" w:hAnsi="Century Gothic" w:cs="Arial"/>
          <w:szCs w:val="22"/>
        </w:rPr>
        <w:t xml:space="preserve">Registrar/Master </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Dated.................... 19....................</w:t>
      </w:r>
    </w:p>
    <w:p w:rsidR="009C03BD" w:rsidRPr="00F40E81" w:rsidRDefault="009C03BD" w:rsidP="00F40E81">
      <w:pPr>
        <w:pStyle w:val="NormalWeb"/>
        <w:spacing w:line="276" w:lineRule="auto"/>
        <w:jc w:val="center"/>
        <w:rPr>
          <w:rFonts w:ascii="Century Gothic" w:hAnsi="Century Gothic" w:cs="Arial"/>
          <w:b/>
          <w:bCs/>
          <w:szCs w:val="22"/>
        </w:rPr>
      </w:pPr>
      <w:r w:rsidRPr="00F40E81">
        <w:rPr>
          <w:rFonts w:ascii="Century Gothic" w:hAnsi="Century Gothic" w:cs="Arial"/>
          <w:b/>
          <w:bCs/>
          <w:szCs w:val="22"/>
        </w:rPr>
        <w:t>CASE LAW</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Arbitrator has power and jurisdiction to grant preference interest in reference made after the coming into force of the Interest Act, 1978 (The Interest Act, 1978 came into force w. e. f. 19. 8. 1981).1</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 xml:space="preserve">The arbitrator has </w:t>
      </w:r>
      <w:proofErr w:type="gramStart"/>
      <w:r w:rsidRPr="00F40E81">
        <w:rPr>
          <w:rFonts w:ascii="Century Gothic" w:hAnsi="Century Gothic" w:cs="Arial"/>
          <w:szCs w:val="22"/>
        </w:rPr>
        <w:t>a discretion</w:t>
      </w:r>
      <w:proofErr w:type="gramEnd"/>
      <w:r w:rsidRPr="00F40E81">
        <w:rPr>
          <w:rFonts w:ascii="Century Gothic" w:hAnsi="Century Gothic" w:cs="Arial"/>
          <w:szCs w:val="22"/>
        </w:rPr>
        <w:t xml:space="preserve"> to award </w:t>
      </w:r>
      <w:proofErr w:type="spellStart"/>
      <w:r w:rsidRPr="00F40E81">
        <w:rPr>
          <w:rFonts w:ascii="Century Gothic" w:hAnsi="Century Gothic" w:cs="Arial"/>
          <w:i/>
          <w:iCs/>
          <w:szCs w:val="22"/>
        </w:rPr>
        <w:t>pendente</w:t>
      </w:r>
      <w:proofErr w:type="spellEnd"/>
      <w:r w:rsidRPr="00F40E81">
        <w:rPr>
          <w:rFonts w:ascii="Century Gothic" w:hAnsi="Century Gothic" w:cs="Arial"/>
          <w:i/>
          <w:iCs/>
          <w:szCs w:val="22"/>
        </w:rPr>
        <w:t xml:space="preserve"> life </w:t>
      </w:r>
      <w:r w:rsidRPr="00F40E81">
        <w:rPr>
          <w:rFonts w:ascii="Century Gothic" w:hAnsi="Century Gothic" w:cs="Arial"/>
          <w:szCs w:val="22"/>
        </w:rPr>
        <w:t>interest under the law.2</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The award can be touched only when there is glaring illegality or injustice in arriving at the conclusion by the Arbitrator.3</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 xml:space="preserve">Claim for escalation of rates is not sustainable when there is no provision for it in contract the arbitrator’s award </w:t>
      </w:r>
      <w:proofErr w:type="spellStart"/>
      <w:r w:rsidRPr="00F40E81">
        <w:rPr>
          <w:rFonts w:ascii="Century Gothic" w:hAnsi="Century Gothic" w:cs="Arial"/>
          <w:szCs w:val="22"/>
        </w:rPr>
        <w:t>vis</w:t>
      </w:r>
      <w:proofErr w:type="spellEnd"/>
      <w:r w:rsidRPr="00F40E81">
        <w:rPr>
          <w:rFonts w:ascii="Century Gothic" w:hAnsi="Century Gothic" w:cs="Arial"/>
          <w:szCs w:val="22"/>
        </w:rPr>
        <w:t>-a-</w:t>
      </w:r>
      <w:proofErr w:type="spellStart"/>
      <w:r w:rsidRPr="00F40E81">
        <w:rPr>
          <w:rFonts w:ascii="Century Gothic" w:hAnsi="Century Gothic" w:cs="Arial"/>
          <w:szCs w:val="22"/>
        </w:rPr>
        <w:t>vis</w:t>
      </w:r>
      <w:proofErr w:type="spellEnd"/>
      <w:r w:rsidRPr="00F40E81">
        <w:rPr>
          <w:rFonts w:ascii="Century Gothic" w:hAnsi="Century Gothic" w:cs="Arial"/>
          <w:szCs w:val="22"/>
        </w:rPr>
        <w:t xml:space="preserve"> that claim cannot be upheld.4</w:t>
      </w:r>
    </w:p>
    <w:p w:rsidR="009C03BD" w:rsidRPr="00F40E81" w:rsidRDefault="009C03BD" w:rsidP="00F40E81">
      <w:pPr>
        <w:pStyle w:val="NormalWeb"/>
        <w:spacing w:line="276" w:lineRule="auto"/>
        <w:jc w:val="both"/>
        <w:rPr>
          <w:rFonts w:ascii="Century Gothic" w:hAnsi="Century Gothic" w:cs="Arial"/>
          <w:b/>
          <w:bCs/>
          <w:szCs w:val="22"/>
        </w:rPr>
      </w:pPr>
      <w:r w:rsidRPr="00F40E81">
        <w:rPr>
          <w:rFonts w:ascii="Century Gothic" w:hAnsi="Century Gothic" w:cs="Arial"/>
          <w:b/>
          <w:bCs/>
          <w:szCs w:val="22"/>
        </w:rPr>
        <w:t xml:space="preserve">POWER TO AWARD </w:t>
      </w:r>
      <w:r w:rsidRPr="00F40E81">
        <w:rPr>
          <w:rFonts w:ascii="Century Gothic" w:hAnsi="Century Gothic" w:cs="Arial"/>
          <w:b/>
          <w:bCs/>
          <w:i/>
          <w:iCs/>
          <w:szCs w:val="22"/>
        </w:rPr>
        <w:t xml:space="preserve">PENDENTE LITE </w:t>
      </w:r>
      <w:r w:rsidRPr="00F40E81">
        <w:rPr>
          <w:rFonts w:ascii="Century Gothic" w:hAnsi="Century Gothic" w:cs="Arial"/>
          <w:b/>
          <w:bCs/>
          <w:szCs w:val="22"/>
        </w:rPr>
        <w:t>INTEREST</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lastRenderedPageBreak/>
        <w:t xml:space="preserve">Arbitrator can grant </w:t>
      </w:r>
      <w:proofErr w:type="spellStart"/>
      <w:r w:rsidRPr="00F40E81">
        <w:rPr>
          <w:rFonts w:ascii="Century Gothic" w:hAnsi="Century Gothic" w:cs="Arial"/>
          <w:i/>
          <w:iCs/>
          <w:szCs w:val="22"/>
        </w:rPr>
        <w:t>pendente</w:t>
      </w:r>
      <w:proofErr w:type="spellEnd"/>
      <w:r w:rsidRPr="00F40E81">
        <w:rPr>
          <w:rFonts w:ascii="Century Gothic" w:hAnsi="Century Gothic" w:cs="Arial"/>
          <w:i/>
          <w:iCs/>
          <w:szCs w:val="22"/>
        </w:rPr>
        <w:t xml:space="preserve"> life </w:t>
      </w:r>
      <w:r w:rsidRPr="00F40E81">
        <w:rPr>
          <w:rFonts w:ascii="Century Gothic" w:hAnsi="Century Gothic" w:cs="Arial"/>
          <w:szCs w:val="22"/>
        </w:rPr>
        <w:t xml:space="preserve">interest.5 </w:t>
      </w:r>
    </w:p>
    <w:p w:rsidR="009C03BD" w:rsidRPr="00F40E81" w:rsidRDefault="009C03BD" w:rsidP="00F40E81">
      <w:pPr>
        <w:pStyle w:val="NormalWeb"/>
        <w:spacing w:line="276" w:lineRule="auto"/>
        <w:jc w:val="both"/>
        <w:rPr>
          <w:rFonts w:ascii="Century Gothic" w:hAnsi="Century Gothic" w:cs="Arial"/>
          <w:b/>
          <w:bCs/>
          <w:szCs w:val="22"/>
        </w:rPr>
      </w:pPr>
      <w:r w:rsidRPr="00F40E81">
        <w:rPr>
          <w:rFonts w:ascii="Century Gothic" w:hAnsi="Century Gothic" w:cs="Arial"/>
          <w:b/>
          <w:bCs/>
          <w:szCs w:val="22"/>
        </w:rPr>
        <w:t>LIMITATION</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Exclusion of period spent in pursuing arbitration proceedings not permissible when reference to arbitration was itself bad.6</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b/>
          <w:bCs/>
          <w:szCs w:val="22"/>
        </w:rPr>
        <w:t>INTEREST FOR PRE-REFERENCE PERIOD</w:t>
      </w:r>
      <w:r w:rsidRPr="00F40E81">
        <w:rPr>
          <w:rFonts w:ascii="Century Gothic" w:hAnsi="Century Gothic" w:cs="Arial"/>
          <w:szCs w:val="22"/>
        </w:rPr>
        <w:t xml:space="preserve"> </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1940 Act</w:t>
      </w:r>
    </w:p>
    <w:p w:rsidR="009C03BD" w:rsidRPr="00F40E81" w:rsidRDefault="009C03BD" w:rsidP="00F40E81">
      <w:pPr>
        <w:pStyle w:val="NormalWeb"/>
        <w:spacing w:line="276" w:lineRule="auto"/>
        <w:jc w:val="both"/>
        <w:rPr>
          <w:rFonts w:ascii="Century Gothic" w:hAnsi="Century Gothic" w:cs="Arial"/>
          <w:szCs w:val="22"/>
        </w:rPr>
      </w:pPr>
      <w:r w:rsidRPr="00F40E81">
        <w:rPr>
          <w:rFonts w:ascii="Century Gothic" w:hAnsi="Century Gothic" w:cs="Arial"/>
          <w:szCs w:val="22"/>
        </w:rPr>
        <w:t xml:space="preserve">Interest for pre-reference period cannot be granted.7 </w:t>
      </w:r>
    </w:p>
    <w:p w:rsidR="009C03BD" w:rsidRPr="00F40E81" w:rsidRDefault="009C03BD" w:rsidP="00F40E81">
      <w:pPr>
        <w:pStyle w:val="NormalWeb"/>
        <w:spacing w:line="276" w:lineRule="auto"/>
        <w:jc w:val="both"/>
        <w:rPr>
          <w:rFonts w:ascii="Century Gothic" w:hAnsi="Century Gothic" w:cs="Arial"/>
          <w:b/>
          <w:bCs/>
          <w:szCs w:val="22"/>
        </w:rPr>
      </w:pPr>
      <w:r w:rsidRPr="00F40E81">
        <w:rPr>
          <w:rFonts w:ascii="Century Gothic" w:hAnsi="Century Gothic" w:cs="Arial"/>
          <w:b/>
          <w:bCs/>
          <w:szCs w:val="22"/>
        </w:rPr>
        <w:t xml:space="preserve">POWERS OF ARBITRATOR </w:t>
      </w:r>
    </w:p>
    <w:p w:rsidR="009C03BD" w:rsidRPr="00F40E81" w:rsidRDefault="009C03BD" w:rsidP="00F40E81">
      <w:pPr>
        <w:pStyle w:val="NormalWeb"/>
        <w:spacing w:line="276" w:lineRule="auto"/>
        <w:jc w:val="both"/>
        <w:rPr>
          <w:rFonts w:ascii="Century Gothic" w:hAnsi="Century Gothic" w:cs="Arial"/>
          <w:b/>
          <w:bCs/>
          <w:i/>
          <w:iCs/>
          <w:szCs w:val="22"/>
        </w:rPr>
      </w:pPr>
      <w:r w:rsidRPr="00F40E81">
        <w:rPr>
          <w:rFonts w:ascii="Century Gothic" w:hAnsi="Century Gothic" w:cs="Arial"/>
          <w:b/>
          <w:bCs/>
          <w:i/>
          <w:iCs/>
          <w:szCs w:val="22"/>
        </w:rPr>
        <w:t>Section 20</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Arbitrator cannot assume any jurisdiction to award any amount towards escalation.8</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 xml:space="preserve">1. </w:t>
      </w:r>
      <w:proofErr w:type="spellStart"/>
      <w:r w:rsidRPr="00F40E81">
        <w:rPr>
          <w:rFonts w:ascii="Century Gothic" w:hAnsi="Century Gothic" w:cs="Arial"/>
          <w:szCs w:val="22"/>
        </w:rPr>
        <w:t>Sudhir</w:t>
      </w:r>
      <w:proofErr w:type="spellEnd"/>
      <w:r w:rsidRPr="00F40E81">
        <w:rPr>
          <w:rFonts w:ascii="Century Gothic" w:hAnsi="Century Gothic" w:cs="Arial"/>
          <w:szCs w:val="22"/>
        </w:rPr>
        <w:t xml:space="preserve"> Brothers v. Delhi Development Authority, 1996 (1) C. C. C, 6 (S. C</w:t>
      </w:r>
      <w:proofErr w:type="gramStart"/>
      <w:r w:rsidRPr="00F40E81">
        <w:rPr>
          <w:rFonts w:ascii="Century Gothic" w:hAnsi="Century Gothic" w:cs="Arial"/>
          <w:szCs w:val="22"/>
        </w:rPr>
        <w:t>. )</w:t>
      </w:r>
      <w:proofErr w:type="gramEnd"/>
      <w:r w:rsidRPr="00F40E81">
        <w:rPr>
          <w:rFonts w:ascii="Century Gothic" w:hAnsi="Century Gothic" w:cs="Arial"/>
          <w:szCs w:val="22"/>
        </w:rPr>
        <w:t>.</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 xml:space="preserve">2. Union of India v. Sri </w:t>
      </w:r>
      <w:proofErr w:type="spellStart"/>
      <w:r w:rsidRPr="00F40E81">
        <w:rPr>
          <w:rFonts w:ascii="Century Gothic" w:hAnsi="Century Gothic" w:cs="Arial"/>
          <w:szCs w:val="22"/>
        </w:rPr>
        <w:t>Kedar</w:t>
      </w:r>
      <w:proofErr w:type="spellEnd"/>
      <w:r w:rsidRPr="00F40E81">
        <w:rPr>
          <w:rFonts w:ascii="Century Gothic" w:hAnsi="Century Gothic" w:cs="Arial"/>
          <w:szCs w:val="22"/>
        </w:rPr>
        <w:t xml:space="preserve"> </w:t>
      </w:r>
      <w:proofErr w:type="spellStart"/>
      <w:r w:rsidRPr="00F40E81">
        <w:rPr>
          <w:rFonts w:ascii="Century Gothic" w:hAnsi="Century Gothic" w:cs="Arial"/>
          <w:szCs w:val="22"/>
        </w:rPr>
        <w:t>Somani</w:t>
      </w:r>
      <w:proofErr w:type="spellEnd"/>
      <w:r w:rsidRPr="00F40E81">
        <w:rPr>
          <w:rFonts w:ascii="Century Gothic" w:hAnsi="Century Gothic" w:cs="Arial"/>
          <w:szCs w:val="22"/>
        </w:rPr>
        <w:t>, 1996 (1) C. C. C. 205 (H. C</w:t>
      </w:r>
      <w:proofErr w:type="gramStart"/>
      <w:r w:rsidRPr="00F40E81">
        <w:rPr>
          <w:rFonts w:ascii="Century Gothic" w:hAnsi="Century Gothic" w:cs="Arial"/>
          <w:szCs w:val="22"/>
        </w:rPr>
        <w:t>. )</w:t>
      </w:r>
      <w:proofErr w:type="gramEnd"/>
      <w:r w:rsidRPr="00F40E81">
        <w:rPr>
          <w:rFonts w:ascii="Century Gothic" w:hAnsi="Century Gothic" w:cs="Arial"/>
          <w:szCs w:val="22"/>
        </w:rPr>
        <w:t>.</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3. State of U. P. v. Om Metals and Minerals (P) Ltd., 1996 (1) C. C. C. 41 (H. C</w:t>
      </w:r>
      <w:proofErr w:type="gramStart"/>
      <w:r w:rsidRPr="00F40E81">
        <w:rPr>
          <w:rFonts w:ascii="Century Gothic" w:hAnsi="Century Gothic" w:cs="Arial"/>
          <w:szCs w:val="22"/>
        </w:rPr>
        <w:t>. )</w:t>
      </w:r>
      <w:proofErr w:type="gramEnd"/>
      <w:r w:rsidRPr="00F40E81">
        <w:rPr>
          <w:rFonts w:ascii="Century Gothic" w:hAnsi="Century Gothic" w:cs="Arial"/>
          <w:szCs w:val="22"/>
        </w:rPr>
        <w:t>.</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 xml:space="preserve">4. Govt. of A. P. rep. by its Secretary Irrigation Department v. G. </w:t>
      </w:r>
      <w:proofErr w:type="spellStart"/>
      <w:r w:rsidRPr="00F40E81">
        <w:rPr>
          <w:rFonts w:ascii="Century Gothic" w:hAnsi="Century Gothic" w:cs="Arial"/>
          <w:szCs w:val="22"/>
        </w:rPr>
        <w:t>Kondala</w:t>
      </w:r>
      <w:proofErr w:type="spellEnd"/>
      <w:r w:rsidRPr="00F40E81">
        <w:rPr>
          <w:rFonts w:ascii="Century Gothic" w:hAnsi="Century Gothic" w:cs="Arial"/>
          <w:szCs w:val="22"/>
        </w:rPr>
        <w:t xml:space="preserve"> </w:t>
      </w:r>
      <w:proofErr w:type="spellStart"/>
      <w:r w:rsidRPr="00F40E81">
        <w:rPr>
          <w:rFonts w:ascii="Century Gothic" w:hAnsi="Century Gothic" w:cs="Arial"/>
          <w:szCs w:val="22"/>
        </w:rPr>
        <w:t>Rao</w:t>
      </w:r>
      <w:proofErr w:type="spellEnd"/>
      <w:r w:rsidRPr="00F40E81">
        <w:rPr>
          <w:rFonts w:ascii="Century Gothic" w:hAnsi="Century Gothic" w:cs="Arial"/>
          <w:szCs w:val="22"/>
        </w:rPr>
        <w:t xml:space="preserve"> (Dead) by L. </w:t>
      </w:r>
      <w:proofErr w:type="spellStart"/>
      <w:proofErr w:type="gramStart"/>
      <w:r w:rsidRPr="00F40E81">
        <w:rPr>
          <w:rFonts w:ascii="Century Gothic" w:hAnsi="Century Gothic" w:cs="Arial"/>
          <w:szCs w:val="22"/>
        </w:rPr>
        <w:t>Rs</w:t>
      </w:r>
      <w:proofErr w:type="spellEnd"/>
      <w:r w:rsidRPr="00F40E81">
        <w:rPr>
          <w:rFonts w:ascii="Century Gothic" w:hAnsi="Century Gothic" w:cs="Arial"/>
          <w:szCs w:val="22"/>
        </w:rPr>
        <w:t>.,</w:t>
      </w:r>
      <w:proofErr w:type="gramEnd"/>
      <w:r w:rsidRPr="00F40E81">
        <w:rPr>
          <w:rFonts w:ascii="Century Gothic" w:hAnsi="Century Gothic" w:cs="Arial"/>
          <w:szCs w:val="22"/>
        </w:rPr>
        <w:t xml:space="preserve"> 1996 (1) C. C. C. 73 (H. C. ).</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 xml:space="preserve">5. State of Orissa v. </w:t>
      </w:r>
      <w:proofErr w:type="spellStart"/>
      <w:r w:rsidRPr="00F40E81">
        <w:rPr>
          <w:rFonts w:ascii="Century Gothic" w:hAnsi="Century Gothic" w:cs="Arial"/>
          <w:szCs w:val="22"/>
        </w:rPr>
        <w:t>Sudhakar</w:t>
      </w:r>
      <w:proofErr w:type="spellEnd"/>
      <w:r w:rsidRPr="00F40E81">
        <w:rPr>
          <w:rFonts w:ascii="Century Gothic" w:hAnsi="Century Gothic" w:cs="Arial"/>
          <w:szCs w:val="22"/>
        </w:rPr>
        <w:t xml:space="preserve"> Das, AIR 2000 SC 1294.</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 xml:space="preserve">6. M/s. </w:t>
      </w:r>
      <w:proofErr w:type="spellStart"/>
      <w:r w:rsidRPr="00F40E81">
        <w:rPr>
          <w:rFonts w:ascii="Century Gothic" w:hAnsi="Century Gothic" w:cs="Arial"/>
          <w:szCs w:val="22"/>
        </w:rPr>
        <w:t>Jupitor</w:t>
      </w:r>
      <w:proofErr w:type="spellEnd"/>
      <w:r w:rsidRPr="00F40E81">
        <w:rPr>
          <w:rFonts w:ascii="Century Gothic" w:hAnsi="Century Gothic" w:cs="Arial"/>
          <w:szCs w:val="22"/>
        </w:rPr>
        <w:t xml:space="preserve"> Chit Fund (P) Ltd. v. Sri Shiv </w:t>
      </w:r>
      <w:proofErr w:type="spellStart"/>
      <w:r w:rsidRPr="00F40E81">
        <w:rPr>
          <w:rFonts w:ascii="Century Gothic" w:hAnsi="Century Gothic" w:cs="Arial"/>
          <w:szCs w:val="22"/>
        </w:rPr>
        <w:t>Narain</w:t>
      </w:r>
      <w:proofErr w:type="spellEnd"/>
      <w:r w:rsidRPr="00F40E81">
        <w:rPr>
          <w:rFonts w:ascii="Century Gothic" w:hAnsi="Century Gothic" w:cs="Arial"/>
          <w:szCs w:val="22"/>
        </w:rPr>
        <w:t xml:space="preserve"> Mehta, AIR 2000 SC 1295.</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 xml:space="preserve">7. State of Orissa v. B. K. </w:t>
      </w:r>
      <w:proofErr w:type="spellStart"/>
      <w:r w:rsidRPr="00F40E81">
        <w:rPr>
          <w:rFonts w:ascii="Century Gothic" w:hAnsi="Century Gothic" w:cs="Arial"/>
          <w:szCs w:val="22"/>
        </w:rPr>
        <w:t>Routray</w:t>
      </w:r>
      <w:proofErr w:type="spellEnd"/>
      <w:r w:rsidRPr="00F40E81">
        <w:rPr>
          <w:rFonts w:ascii="Century Gothic" w:hAnsi="Century Gothic" w:cs="Arial"/>
          <w:szCs w:val="22"/>
        </w:rPr>
        <w:t>, AIR 1999 SC (10).</w:t>
      </w:r>
    </w:p>
    <w:p w:rsidR="009C03BD" w:rsidRPr="00F40E81" w:rsidRDefault="009C03BD" w:rsidP="00F40E81">
      <w:pPr>
        <w:pStyle w:val="NormalWeb"/>
        <w:spacing w:line="276" w:lineRule="auto"/>
        <w:ind w:left="1440"/>
        <w:rPr>
          <w:rFonts w:ascii="Century Gothic" w:hAnsi="Century Gothic" w:cs="Arial"/>
          <w:szCs w:val="22"/>
        </w:rPr>
      </w:pPr>
      <w:r w:rsidRPr="00F40E81">
        <w:rPr>
          <w:rFonts w:ascii="Century Gothic" w:hAnsi="Century Gothic" w:cs="Arial"/>
          <w:szCs w:val="22"/>
        </w:rPr>
        <w:t xml:space="preserve">8. State of Orissa v. </w:t>
      </w:r>
      <w:proofErr w:type="spellStart"/>
      <w:r w:rsidRPr="00F40E81">
        <w:rPr>
          <w:rFonts w:ascii="Century Gothic" w:hAnsi="Century Gothic" w:cs="Arial"/>
          <w:szCs w:val="22"/>
        </w:rPr>
        <w:t>Sudhakar</w:t>
      </w:r>
      <w:proofErr w:type="spellEnd"/>
      <w:r w:rsidRPr="00F40E81">
        <w:rPr>
          <w:rFonts w:ascii="Century Gothic" w:hAnsi="Century Gothic" w:cs="Arial"/>
          <w:szCs w:val="22"/>
        </w:rPr>
        <w:t xml:space="preserve"> Das, AIR 2000 SC 1294.</w:t>
      </w:r>
    </w:p>
    <w:bookmarkEnd w:id="0"/>
    <w:p w:rsidR="009C03BD" w:rsidRPr="00F40E81" w:rsidRDefault="009C03BD" w:rsidP="00F40E81">
      <w:pPr>
        <w:rPr>
          <w:rFonts w:ascii="Century Gothic" w:hAnsi="Century Gothic" w:cs="Arial"/>
          <w:sz w:val="24"/>
        </w:rPr>
      </w:pPr>
    </w:p>
    <w:sectPr w:rsidR="009C03BD" w:rsidRPr="00F40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42"/>
    <w:rsid w:val="00102C7C"/>
    <w:rsid w:val="005E610F"/>
    <w:rsid w:val="007F7CBF"/>
    <w:rsid w:val="00927DA6"/>
    <w:rsid w:val="00935E42"/>
    <w:rsid w:val="009C03BD"/>
    <w:rsid w:val="00C326C6"/>
    <w:rsid w:val="00E261F2"/>
    <w:rsid w:val="00F4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03B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03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NOTICE%20UNDER%20SECTION%2020%20OF%20THE%20ARBITRATION%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UNDER SECTION 20 OF THE ARBITRATION ACT</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2024-06-11T12:24:00Z</dcterms:created>
  <dcterms:modified xsi:type="dcterms:W3CDTF">2024-06-11T12:24:00Z</dcterms:modified>
</cp:coreProperties>
</file>