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D" w:rsidRPr="00B3037E" w:rsidRDefault="00AC26AD" w:rsidP="00B3037E">
      <w:pPr>
        <w:pStyle w:val="NormalWeb"/>
        <w:spacing w:line="276" w:lineRule="auto"/>
        <w:jc w:val="center"/>
        <w:rPr>
          <w:rFonts w:ascii="Century Gothic" w:hAnsi="Century Gothic" w:cs="Arial"/>
          <w:b/>
          <w:bCs/>
          <w:szCs w:val="22"/>
        </w:rPr>
      </w:pPr>
      <w:bookmarkStart w:id="0" w:name="_GoBack"/>
      <w:r w:rsidRPr="00B3037E">
        <w:rPr>
          <w:rFonts w:ascii="Century Gothic" w:hAnsi="Century Gothic" w:cs="Arial"/>
          <w:b/>
          <w:bCs/>
          <w:szCs w:val="22"/>
        </w:rPr>
        <w:t>REPLY TO THE OBJECTION OF THE DEFENDANT</w:t>
      </w:r>
    </w:p>
    <w:p w:rsidR="00AC26AD" w:rsidRPr="00B3037E" w:rsidRDefault="00AC26AD" w:rsidP="00B3037E">
      <w:pPr>
        <w:pStyle w:val="NormalWeb"/>
        <w:spacing w:line="276" w:lineRule="auto"/>
        <w:rPr>
          <w:rFonts w:ascii="Century Gothic" w:hAnsi="Century Gothic" w:cs="Arial"/>
          <w:szCs w:val="22"/>
        </w:rPr>
      </w:pPr>
      <w:r w:rsidRPr="00B3037E">
        <w:rPr>
          <w:rFonts w:ascii="Century Gothic" w:hAnsi="Century Gothic" w:cs="Arial"/>
          <w:szCs w:val="22"/>
        </w:rPr>
        <w:t>IN THE COURT OF THE....................</w:t>
      </w:r>
    </w:p>
    <w:p w:rsidR="00AC26AD" w:rsidRPr="00B3037E" w:rsidRDefault="00AC26AD" w:rsidP="00B3037E">
      <w:pPr>
        <w:pStyle w:val="NormalWeb"/>
        <w:spacing w:line="276" w:lineRule="auto"/>
        <w:rPr>
          <w:rFonts w:ascii="Century Gothic" w:hAnsi="Century Gothic" w:cs="Arial"/>
          <w:szCs w:val="22"/>
        </w:rPr>
      </w:pPr>
      <w:r w:rsidRPr="00B3037E">
        <w:rPr>
          <w:rFonts w:ascii="Century Gothic" w:hAnsi="Century Gothic" w:cs="Arial"/>
          <w:szCs w:val="22"/>
        </w:rPr>
        <w:t xml:space="preserve">Suit No..................... </w:t>
      </w:r>
      <w:proofErr w:type="gramStart"/>
      <w:r w:rsidRPr="00B3037E">
        <w:rPr>
          <w:rFonts w:ascii="Century Gothic" w:hAnsi="Century Gothic" w:cs="Arial"/>
          <w:szCs w:val="22"/>
        </w:rPr>
        <w:t>of</w:t>
      </w:r>
      <w:proofErr w:type="gramEnd"/>
      <w:r w:rsidRPr="00B3037E">
        <w:rPr>
          <w:rFonts w:ascii="Century Gothic" w:hAnsi="Century Gothic" w:cs="Arial"/>
          <w:szCs w:val="22"/>
        </w:rPr>
        <w:t xml:space="preserve"> 19........................................</w:t>
      </w:r>
    </w:p>
    <w:p w:rsidR="00AC26AD" w:rsidRPr="00B3037E" w:rsidRDefault="00AC26AD" w:rsidP="00B3037E">
      <w:pPr>
        <w:pStyle w:val="NormalWeb"/>
        <w:spacing w:line="276" w:lineRule="auto"/>
        <w:rPr>
          <w:rFonts w:ascii="Century Gothic" w:hAnsi="Century Gothic" w:cs="Arial"/>
          <w:szCs w:val="22"/>
        </w:rPr>
      </w:pPr>
      <w:r w:rsidRPr="00B3037E">
        <w:rPr>
          <w:rFonts w:ascii="Century Gothic" w:hAnsi="Century Gothic" w:cs="Arial"/>
          <w:szCs w:val="22"/>
        </w:rPr>
        <w:t>C. D................................................................... Plaintiff</w:t>
      </w:r>
    </w:p>
    <w:p w:rsidR="00AC26AD" w:rsidRPr="00B3037E" w:rsidRDefault="00AC26AD" w:rsidP="00B3037E">
      <w:pPr>
        <w:pStyle w:val="NormalWeb"/>
        <w:spacing w:line="276" w:lineRule="auto"/>
        <w:jc w:val="center"/>
        <w:rPr>
          <w:rFonts w:ascii="Century Gothic" w:hAnsi="Century Gothic" w:cs="Arial"/>
          <w:i/>
          <w:iCs/>
          <w:szCs w:val="22"/>
        </w:rPr>
      </w:pPr>
      <w:proofErr w:type="gramStart"/>
      <w:r w:rsidRPr="00B3037E">
        <w:rPr>
          <w:rFonts w:ascii="Century Gothic" w:hAnsi="Century Gothic" w:cs="Arial"/>
          <w:i/>
          <w:iCs/>
          <w:szCs w:val="22"/>
        </w:rPr>
        <w:t>versus</w:t>
      </w:r>
      <w:proofErr w:type="gramEnd"/>
      <w:r w:rsidRPr="00B3037E">
        <w:rPr>
          <w:rFonts w:ascii="Century Gothic" w:hAnsi="Century Gothic" w:cs="Arial"/>
          <w:i/>
          <w:iCs/>
          <w:szCs w:val="22"/>
        </w:rPr>
        <w:t xml:space="preserve"> </w:t>
      </w:r>
    </w:p>
    <w:p w:rsidR="00AC26AD" w:rsidRPr="00B3037E" w:rsidRDefault="00AC26AD" w:rsidP="00B3037E">
      <w:pPr>
        <w:pStyle w:val="NormalWeb"/>
        <w:spacing w:line="276" w:lineRule="auto"/>
        <w:rPr>
          <w:rFonts w:ascii="Century Gothic" w:hAnsi="Century Gothic" w:cs="Arial"/>
          <w:szCs w:val="22"/>
        </w:rPr>
      </w:pPr>
      <w:r w:rsidRPr="00B3037E">
        <w:rPr>
          <w:rFonts w:ascii="Century Gothic" w:hAnsi="Century Gothic" w:cs="Arial"/>
          <w:szCs w:val="22"/>
        </w:rPr>
        <w:t>CF................................................................ Defendant</w:t>
      </w:r>
    </w:p>
    <w:p w:rsidR="00AC26AD" w:rsidRPr="00B3037E" w:rsidRDefault="00AC26AD" w:rsidP="00B3037E">
      <w:pPr>
        <w:pStyle w:val="NormalWeb"/>
        <w:spacing w:line="276" w:lineRule="auto"/>
        <w:rPr>
          <w:rFonts w:ascii="Century Gothic" w:hAnsi="Century Gothic" w:cs="Arial"/>
          <w:szCs w:val="22"/>
        </w:rPr>
      </w:pPr>
      <w:r w:rsidRPr="00B3037E">
        <w:rPr>
          <w:rFonts w:ascii="Century Gothic" w:hAnsi="Century Gothic" w:cs="Arial"/>
          <w:szCs w:val="22"/>
        </w:rPr>
        <w:t>The reply of the plaintiff to the objection to the defendant as to valuation of suit and court fee is most respectfully submitted as follows:</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1. That the contents of Para 1 of the objection are correct and admitted.</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 xml:space="preserve">2. That the contents of </w:t>
      </w:r>
      <w:proofErr w:type="spellStart"/>
      <w:r w:rsidRPr="00B3037E">
        <w:rPr>
          <w:rFonts w:ascii="Century Gothic" w:hAnsi="Century Gothic" w:cs="Arial"/>
          <w:szCs w:val="22"/>
        </w:rPr>
        <w:t>para</w:t>
      </w:r>
      <w:proofErr w:type="spellEnd"/>
      <w:r w:rsidRPr="00B3037E">
        <w:rPr>
          <w:rFonts w:ascii="Century Gothic" w:hAnsi="Century Gothic" w:cs="Arial"/>
          <w:szCs w:val="22"/>
        </w:rPr>
        <w:t xml:space="preserve"> 2 of the objection are wrong and denied. The Plaintiff has valued the suit on the basis of the annual land revenue multiplied by thirty times according to the provisions of the Court Fees Act.</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 xml:space="preserve">3. That the contents of </w:t>
      </w:r>
      <w:proofErr w:type="spellStart"/>
      <w:r w:rsidRPr="00B3037E">
        <w:rPr>
          <w:rFonts w:ascii="Century Gothic" w:hAnsi="Century Gothic" w:cs="Arial"/>
          <w:szCs w:val="22"/>
        </w:rPr>
        <w:t>para</w:t>
      </w:r>
      <w:proofErr w:type="spellEnd"/>
      <w:r w:rsidRPr="00B3037E">
        <w:rPr>
          <w:rFonts w:ascii="Century Gothic" w:hAnsi="Century Gothic" w:cs="Arial"/>
          <w:szCs w:val="22"/>
        </w:rPr>
        <w:t xml:space="preserve"> 3 of the objection are baseless and simply to delay the disposal of the suit and the objection is liable to be dismissed with costs.</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It is accordingly prayed.</w:t>
      </w:r>
    </w:p>
    <w:p w:rsidR="00AC26AD" w:rsidRPr="00B3037E" w:rsidRDefault="00AC26AD" w:rsidP="00B3037E">
      <w:pPr>
        <w:pStyle w:val="NormalWeb"/>
        <w:spacing w:line="276" w:lineRule="auto"/>
        <w:jc w:val="right"/>
        <w:rPr>
          <w:rFonts w:ascii="Century Gothic" w:hAnsi="Century Gothic" w:cs="Arial"/>
          <w:szCs w:val="22"/>
        </w:rPr>
      </w:pPr>
      <w:r w:rsidRPr="00B3037E">
        <w:rPr>
          <w:rFonts w:ascii="Century Gothic" w:hAnsi="Century Gothic" w:cs="Arial"/>
          <w:szCs w:val="22"/>
        </w:rPr>
        <w:t xml:space="preserve">Plaintiff </w:t>
      </w:r>
    </w:p>
    <w:p w:rsidR="00AC26AD" w:rsidRPr="00B3037E" w:rsidRDefault="00AC26AD" w:rsidP="00B3037E">
      <w:pPr>
        <w:pStyle w:val="NormalWeb"/>
        <w:spacing w:line="276" w:lineRule="auto"/>
        <w:ind w:left="6480" w:firstLine="720"/>
        <w:jc w:val="right"/>
        <w:rPr>
          <w:rFonts w:ascii="Century Gothic" w:hAnsi="Century Gothic" w:cs="Arial"/>
          <w:szCs w:val="22"/>
        </w:rPr>
      </w:pPr>
      <w:r w:rsidRPr="00B3037E">
        <w:rPr>
          <w:rFonts w:ascii="Century Gothic" w:hAnsi="Century Gothic" w:cs="Arial"/>
          <w:szCs w:val="22"/>
        </w:rPr>
        <w:t xml:space="preserve">Through Counsel </w:t>
      </w:r>
    </w:p>
    <w:p w:rsidR="00AC26AD" w:rsidRPr="00B3037E" w:rsidRDefault="00AC26AD" w:rsidP="00B3037E">
      <w:pPr>
        <w:pStyle w:val="NormalWeb"/>
        <w:spacing w:line="276" w:lineRule="auto"/>
        <w:rPr>
          <w:rFonts w:ascii="Century Gothic" w:hAnsi="Century Gothic" w:cs="Arial"/>
          <w:szCs w:val="22"/>
        </w:rPr>
      </w:pPr>
      <w:r w:rsidRPr="00B3037E">
        <w:rPr>
          <w:rFonts w:ascii="Century Gothic" w:hAnsi="Century Gothic" w:cs="Arial"/>
          <w:szCs w:val="22"/>
        </w:rPr>
        <w:t>Place</w:t>
      </w:r>
      <w:proofErr w:type="gramStart"/>
      <w:r w:rsidRPr="00B3037E">
        <w:rPr>
          <w:rFonts w:ascii="Century Gothic" w:hAnsi="Century Gothic" w:cs="Arial"/>
          <w:szCs w:val="22"/>
        </w:rPr>
        <w:t>:....................</w:t>
      </w:r>
      <w:proofErr w:type="gramEnd"/>
    </w:p>
    <w:p w:rsidR="00AC26AD" w:rsidRPr="00B3037E" w:rsidRDefault="00AC26AD" w:rsidP="00B3037E">
      <w:pPr>
        <w:pStyle w:val="NormalWeb"/>
        <w:spacing w:line="276" w:lineRule="auto"/>
        <w:rPr>
          <w:rFonts w:ascii="Century Gothic" w:hAnsi="Century Gothic" w:cs="Arial"/>
          <w:szCs w:val="22"/>
        </w:rPr>
      </w:pPr>
      <w:r w:rsidRPr="00B3037E">
        <w:rPr>
          <w:rFonts w:ascii="Century Gothic" w:hAnsi="Century Gothic" w:cs="Arial"/>
          <w:szCs w:val="22"/>
        </w:rPr>
        <w:t>Dated</w:t>
      </w:r>
      <w:proofErr w:type="gramStart"/>
      <w:r w:rsidRPr="00B3037E">
        <w:rPr>
          <w:rFonts w:ascii="Century Gothic" w:hAnsi="Century Gothic" w:cs="Arial"/>
          <w:szCs w:val="22"/>
        </w:rPr>
        <w:t>:....................</w:t>
      </w:r>
      <w:proofErr w:type="gramEnd"/>
    </w:p>
    <w:p w:rsidR="00AC26AD" w:rsidRPr="00B3037E" w:rsidRDefault="00AC26AD" w:rsidP="00B3037E">
      <w:pPr>
        <w:pStyle w:val="NormalWeb"/>
        <w:spacing w:line="276" w:lineRule="auto"/>
        <w:jc w:val="center"/>
        <w:rPr>
          <w:rFonts w:ascii="Century Gothic" w:hAnsi="Century Gothic" w:cs="Arial"/>
          <w:b/>
          <w:bCs/>
          <w:szCs w:val="22"/>
        </w:rPr>
      </w:pPr>
      <w:r w:rsidRPr="00B3037E">
        <w:rPr>
          <w:rFonts w:ascii="Century Gothic" w:hAnsi="Century Gothic" w:cs="Arial"/>
          <w:b/>
          <w:bCs/>
          <w:szCs w:val="22"/>
        </w:rPr>
        <w:t>CASE LAW</w:t>
      </w:r>
    </w:p>
    <w:p w:rsidR="00AC26AD" w:rsidRPr="00B3037E" w:rsidRDefault="00AC26AD" w:rsidP="00B3037E">
      <w:pPr>
        <w:pStyle w:val="NormalWeb"/>
        <w:spacing w:line="276" w:lineRule="auto"/>
        <w:jc w:val="both"/>
        <w:rPr>
          <w:rFonts w:ascii="Century Gothic" w:hAnsi="Century Gothic" w:cs="Arial"/>
          <w:b/>
          <w:bCs/>
          <w:i/>
          <w:iCs/>
          <w:szCs w:val="22"/>
        </w:rPr>
      </w:pPr>
      <w:r w:rsidRPr="00B3037E">
        <w:rPr>
          <w:rFonts w:ascii="Century Gothic" w:hAnsi="Century Gothic" w:cs="Arial"/>
          <w:b/>
          <w:bCs/>
          <w:i/>
          <w:iCs/>
          <w:szCs w:val="22"/>
        </w:rPr>
        <w:t>Section 6</w:t>
      </w:r>
    </w:p>
    <w:p w:rsidR="00AC26AD" w:rsidRPr="00B3037E" w:rsidRDefault="00AC26AD" w:rsidP="00B3037E">
      <w:pPr>
        <w:pStyle w:val="NormalWeb"/>
        <w:spacing w:line="276" w:lineRule="auto"/>
        <w:jc w:val="both"/>
        <w:rPr>
          <w:rFonts w:ascii="Century Gothic" w:hAnsi="Century Gothic" w:cs="Arial"/>
          <w:b/>
          <w:bCs/>
          <w:szCs w:val="22"/>
        </w:rPr>
      </w:pPr>
      <w:r w:rsidRPr="00B3037E">
        <w:rPr>
          <w:rFonts w:ascii="Century Gothic" w:hAnsi="Century Gothic" w:cs="Arial"/>
          <w:b/>
          <w:bCs/>
          <w:szCs w:val="22"/>
        </w:rPr>
        <w:t>WHEN COURT MAY PASS DECREE BEYOND THE PECUNIARY LIMITS OF ITS JURISDICTION</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lastRenderedPageBreak/>
        <w:t>(i) Where in a suit for partition, the valuation given by the plaintiff is such that the suit is within the jurisdiction of the Court in which it is filed, the Court can pass a decree in terms of an award of the arbitrator to whom the parties have, after the filing of the suit, referred the dispute in the suit, for arbitration, even though the award is for an amount exceeding the pecuniary jurisdiction of that Court1.</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(ii) Where different suits are consolidated for hearing and the total valuation of such consolidated suits exceeds the pecuniary limits of its jurisdiction, the Court does not lose its jurisdiction to hear it by reason of the value of all the suits exceeding its jurisdiction2.</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(iii)Where the valuation of a suit for accounts is within the pecuniary limits of the jurisdiction of the Court, the Court may pass a decree for a sum which is in excess of its pecuniary limit of jurisdiction3.</w:t>
      </w:r>
    </w:p>
    <w:p w:rsidR="00AC26AD" w:rsidRPr="00B3037E" w:rsidRDefault="00AC26AD" w:rsidP="00B3037E">
      <w:pPr>
        <w:pStyle w:val="NormalWeb"/>
        <w:spacing w:line="276" w:lineRule="auto"/>
        <w:jc w:val="both"/>
        <w:rPr>
          <w:rFonts w:ascii="Century Gothic" w:hAnsi="Century Gothic" w:cs="Arial"/>
          <w:b/>
          <w:bCs/>
          <w:szCs w:val="22"/>
        </w:rPr>
      </w:pPr>
      <w:proofErr w:type="gramStart"/>
      <w:r w:rsidRPr="00B3037E">
        <w:rPr>
          <w:rFonts w:ascii="Century Gothic" w:hAnsi="Century Gothic" w:cs="Arial"/>
          <w:b/>
          <w:bCs/>
          <w:szCs w:val="22"/>
        </w:rPr>
        <w:t>WHEN A COURT CANNOT PASS DECREE BEYOND ITS PECUNIARY LIMIT OF JURISDICTION.</w:t>
      </w:r>
      <w:proofErr w:type="gramEnd"/>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A Court has no jurisdiction to grant reliefs which are not claimed in the plaint if by reason of their inclusion, the suit would be beyond its pecuniary jurisdiction4.</w:t>
      </w:r>
    </w:p>
    <w:p w:rsidR="00AC26AD" w:rsidRPr="00B3037E" w:rsidRDefault="00AC26AD" w:rsidP="00B3037E">
      <w:pPr>
        <w:pStyle w:val="NormalWeb"/>
        <w:spacing w:line="276" w:lineRule="auto"/>
        <w:jc w:val="both"/>
        <w:rPr>
          <w:rFonts w:ascii="Century Gothic" w:hAnsi="Century Gothic" w:cs="Arial"/>
          <w:b/>
          <w:bCs/>
          <w:szCs w:val="22"/>
        </w:rPr>
      </w:pPr>
      <w:r w:rsidRPr="00B3037E">
        <w:rPr>
          <w:rFonts w:ascii="Century Gothic" w:hAnsi="Century Gothic" w:cs="Arial"/>
          <w:b/>
          <w:bCs/>
          <w:szCs w:val="22"/>
        </w:rPr>
        <w:t>BASIS FOR DETERMINING THE VALUATION OF A SUIT</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This section refers to the powers of a Court to entertain a suit on the basis of its limits as to pecuniary jurisdiction. As such it is basically the valuation given by the plaintiff in this plaint which determines such pecuniary jurisdiction and the Court proceeds on it; it is not the amount which the Court may find due or decree5.</w:t>
      </w:r>
    </w:p>
    <w:p w:rsidR="00AC26AD" w:rsidRPr="00B3037E" w:rsidRDefault="00AC26AD" w:rsidP="00B3037E">
      <w:pPr>
        <w:pStyle w:val="NormalWeb"/>
        <w:spacing w:line="276" w:lineRule="auto"/>
        <w:jc w:val="both"/>
        <w:rPr>
          <w:rFonts w:ascii="Century Gothic" w:hAnsi="Century Gothic" w:cs="Arial"/>
          <w:b/>
          <w:bCs/>
          <w:szCs w:val="22"/>
        </w:rPr>
      </w:pPr>
      <w:r w:rsidRPr="00B3037E">
        <w:rPr>
          <w:rFonts w:ascii="Century Gothic" w:hAnsi="Century Gothic" w:cs="Arial"/>
          <w:b/>
          <w:bCs/>
          <w:szCs w:val="22"/>
        </w:rPr>
        <w:t>"OTHERWISE EXPRESSLY PROVIDED"—MEANING OF</w:t>
      </w:r>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This expression means not the property involved in the suit but the relief which is claimed and it is its value that determines the jurisdiction of the court6.</w:t>
      </w:r>
    </w:p>
    <w:p w:rsidR="00AC26AD" w:rsidRPr="00B3037E" w:rsidRDefault="00AC26AD" w:rsidP="00B3037E">
      <w:pPr>
        <w:pStyle w:val="NormalWeb"/>
        <w:spacing w:line="276" w:lineRule="auto"/>
        <w:jc w:val="both"/>
        <w:rPr>
          <w:rFonts w:ascii="Century Gothic" w:hAnsi="Century Gothic" w:cs="Arial"/>
          <w:b/>
          <w:bCs/>
          <w:szCs w:val="22"/>
        </w:rPr>
      </w:pPr>
      <w:r w:rsidRPr="00B3037E">
        <w:rPr>
          <w:rFonts w:ascii="Century Gothic" w:hAnsi="Century Gothic" w:cs="Arial"/>
          <w:b/>
          <w:bCs/>
          <w:szCs w:val="22"/>
        </w:rPr>
        <w:t xml:space="preserve">MESNE PROFITS AFTER SUIT WHETHER </w:t>
      </w:r>
      <w:proofErr w:type="gramStart"/>
      <w:r w:rsidRPr="00B3037E">
        <w:rPr>
          <w:rFonts w:ascii="Century Gothic" w:hAnsi="Century Gothic" w:cs="Arial"/>
          <w:b/>
          <w:bCs/>
          <w:szCs w:val="22"/>
        </w:rPr>
        <w:t>EFFECT</w:t>
      </w:r>
      <w:proofErr w:type="gramEnd"/>
      <w:r w:rsidRPr="00B3037E">
        <w:rPr>
          <w:rFonts w:ascii="Century Gothic" w:hAnsi="Century Gothic" w:cs="Arial"/>
          <w:b/>
          <w:bCs/>
          <w:szCs w:val="22"/>
        </w:rPr>
        <w:t xml:space="preserve"> PECUNIARY JURISDICTION? </w:t>
      </w:r>
      <w:proofErr w:type="gramStart"/>
      <w:r w:rsidRPr="00B3037E">
        <w:rPr>
          <w:rFonts w:ascii="Century Gothic" w:hAnsi="Century Gothic" w:cs="Arial"/>
          <w:b/>
          <w:bCs/>
          <w:szCs w:val="22"/>
        </w:rPr>
        <w:t>(NO).</w:t>
      </w:r>
      <w:proofErr w:type="gramEnd"/>
    </w:p>
    <w:p w:rsidR="00AC26AD" w:rsidRPr="00B3037E" w:rsidRDefault="00AC26AD" w:rsidP="00B3037E">
      <w:pPr>
        <w:pStyle w:val="NormalWeb"/>
        <w:spacing w:line="276" w:lineRule="auto"/>
        <w:jc w:val="both"/>
        <w:rPr>
          <w:rFonts w:ascii="Century Gothic" w:hAnsi="Century Gothic" w:cs="Arial"/>
          <w:szCs w:val="22"/>
        </w:rPr>
      </w:pPr>
      <w:r w:rsidRPr="00B3037E">
        <w:rPr>
          <w:rFonts w:ascii="Century Gothic" w:hAnsi="Century Gothic" w:cs="Arial"/>
          <w:szCs w:val="22"/>
        </w:rPr>
        <w:t xml:space="preserve">In a suit for recovery of property and </w:t>
      </w:r>
      <w:proofErr w:type="spellStart"/>
      <w:r w:rsidRPr="00B3037E">
        <w:rPr>
          <w:rFonts w:ascii="Century Gothic" w:hAnsi="Century Gothic" w:cs="Arial"/>
          <w:szCs w:val="22"/>
        </w:rPr>
        <w:t>mesne</w:t>
      </w:r>
      <w:proofErr w:type="spellEnd"/>
      <w:r w:rsidRPr="00B3037E">
        <w:rPr>
          <w:rFonts w:ascii="Century Gothic" w:hAnsi="Century Gothic" w:cs="Arial"/>
          <w:szCs w:val="22"/>
        </w:rPr>
        <w:t xml:space="preserve"> profits, it is the valuation of the immovable property and the </w:t>
      </w:r>
      <w:proofErr w:type="spellStart"/>
      <w:r w:rsidRPr="00B3037E">
        <w:rPr>
          <w:rFonts w:ascii="Century Gothic" w:hAnsi="Century Gothic" w:cs="Arial"/>
          <w:szCs w:val="22"/>
        </w:rPr>
        <w:t>mesne</w:t>
      </w:r>
      <w:proofErr w:type="spellEnd"/>
      <w:r w:rsidRPr="00B3037E">
        <w:rPr>
          <w:rFonts w:ascii="Century Gothic" w:hAnsi="Century Gothic" w:cs="Arial"/>
          <w:szCs w:val="22"/>
        </w:rPr>
        <w:t xml:space="preserve"> profits up to the date of the suit, which are to be counted for the purpose of deciding pecuniary jurisdiction of the Court and not the </w:t>
      </w:r>
      <w:proofErr w:type="spellStart"/>
      <w:r w:rsidRPr="00B3037E">
        <w:rPr>
          <w:rFonts w:ascii="Century Gothic" w:hAnsi="Century Gothic" w:cs="Arial"/>
          <w:szCs w:val="22"/>
        </w:rPr>
        <w:t>mesne</w:t>
      </w:r>
      <w:proofErr w:type="spellEnd"/>
      <w:r w:rsidRPr="00B3037E">
        <w:rPr>
          <w:rFonts w:ascii="Century Gothic" w:hAnsi="Century Gothic" w:cs="Arial"/>
          <w:szCs w:val="22"/>
        </w:rPr>
        <w:t xml:space="preserve"> profits which incur after the suit is filled7.</w:t>
      </w:r>
    </w:p>
    <w:p w:rsidR="00AC26AD" w:rsidRPr="00B3037E" w:rsidRDefault="00AC26AD" w:rsidP="00B3037E">
      <w:pPr>
        <w:pStyle w:val="NormalWeb"/>
        <w:spacing w:line="276" w:lineRule="auto"/>
        <w:ind w:left="1440"/>
        <w:rPr>
          <w:rFonts w:ascii="Century Gothic" w:hAnsi="Century Gothic" w:cs="Arial"/>
          <w:szCs w:val="22"/>
        </w:rPr>
      </w:pPr>
      <w:r w:rsidRPr="00B3037E">
        <w:rPr>
          <w:rFonts w:ascii="Century Gothic" w:hAnsi="Century Gothic" w:cs="Arial"/>
          <w:szCs w:val="22"/>
        </w:rPr>
        <w:lastRenderedPageBreak/>
        <w:t xml:space="preserve">1. </w:t>
      </w:r>
      <w:proofErr w:type="spellStart"/>
      <w:r w:rsidRPr="00B3037E">
        <w:rPr>
          <w:rFonts w:ascii="Century Gothic" w:hAnsi="Century Gothic" w:cs="Arial"/>
          <w:szCs w:val="22"/>
        </w:rPr>
        <w:t>Mahadeo</w:t>
      </w:r>
      <w:proofErr w:type="spellEnd"/>
      <w:r w:rsidRPr="00B3037E">
        <w:rPr>
          <w:rFonts w:ascii="Century Gothic" w:hAnsi="Century Gothic" w:cs="Arial"/>
          <w:szCs w:val="22"/>
        </w:rPr>
        <w:t xml:space="preserve"> v. </w:t>
      </w:r>
      <w:proofErr w:type="spellStart"/>
      <w:r w:rsidRPr="00B3037E">
        <w:rPr>
          <w:rFonts w:ascii="Century Gothic" w:hAnsi="Century Gothic" w:cs="Arial"/>
          <w:szCs w:val="22"/>
        </w:rPr>
        <w:t>Hanumanmal</w:t>
      </w:r>
      <w:proofErr w:type="spellEnd"/>
      <w:r w:rsidRPr="00B3037E">
        <w:rPr>
          <w:rFonts w:ascii="Century Gothic" w:hAnsi="Century Gothic" w:cs="Arial"/>
          <w:szCs w:val="22"/>
        </w:rPr>
        <w:t>, A. I. R. 1969 Raj. 304.</w:t>
      </w:r>
    </w:p>
    <w:p w:rsidR="00AC26AD" w:rsidRPr="00B3037E" w:rsidRDefault="00AC26AD" w:rsidP="00B3037E">
      <w:pPr>
        <w:pStyle w:val="NormalWeb"/>
        <w:spacing w:line="276" w:lineRule="auto"/>
        <w:ind w:left="1440"/>
        <w:rPr>
          <w:rFonts w:ascii="Century Gothic" w:hAnsi="Century Gothic" w:cs="Arial"/>
          <w:szCs w:val="22"/>
        </w:rPr>
      </w:pPr>
      <w:proofErr w:type="gramStart"/>
      <w:r w:rsidRPr="00B3037E">
        <w:rPr>
          <w:rFonts w:ascii="Century Gothic" w:hAnsi="Century Gothic" w:cs="Arial"/>
          <w:szCs w:val="22"/>
        </w:rPr>
        <w:t xml:space="preserve">2. Jaya Krishna v. </w:t>
      </w:r>
      <w:proofErr w:type="spellStart"/>
      <w:r w:rsidRPr="00B3037E">
        <w:rPr>
          <w:rFonts w:ascii="Century Gothic" w:hAnsi="Century Gothic" w:cs="Arial"/>
          <w:szCs w:val="22"/>
        </w:rPr>
        <w:t>Bajrang</w:t>
      </w:r>
      <w:proofErr w:type="spellEnd"/>
      <w:r w:rsidRPr="00B3037E">
        <w:rPr>
          <w:rFonts w:ascii="Century Gothic" w:hAnsi="Century Gothic" w:cs="Arial"/>
          <w:szCs w:val="22"/>
        </w:rPr>
        <w:t xml:space="preserve"> </w:t>
      </w:r>
      <w:proofErr w:type="spellStart"/>
      <w:r w:rsidRPr="00B3037E">
        <w:rPr>
          <w:rFonts w:ascii="Century Gothic" w:hAnsi="Century Gothic" w:cs="Arial"/>
          <w:szCs w:val="22"/>
        </w:rPr>
        <w:t>Lal</w:t>
      </w:r>
      <w:proofErr w:type="spellEnd"/>
      <w:r w:rsidRPr="00B3037E">
        <w:rPr>
          <w:rFonts w:ascii="Century Gothic" w:hAnsi="Century Gothic" w:cs="Arial"/>
          <w:szCs w:val="22"/>
        </w:rPr>
        <w:t>, A. I. R. (1961) raj.</w:t>
      </w:r>
      <w:proofErr w:type="gramEnd"/>
      <w:r w:rsidRPr="00B3037E">
        <w:rPr>
          <w:rFonts w:ascii="Century Gothic" w:hAnsi="Century Gothic" w:cs="Arial"/>
          <w:szCs w:val="22"/>
        </w:rPr>
        <w:t xml:space="preserve"> 1173.</w:t>
      </w:r>
    </w:p>
    <w:p w:rsidR="00AC26AD" w:rsidRPr="00B3037E" w:rsidRDefault="00AC26AD" w:rsidP="00B3037E">
      <w:pPr>
        <w:pStyle w:val="NormalWeb"/>
        <w:spacing w:line="276" w:lineRule="auto"/>
        <w:ind w:left="1440"/>
        <w:rPr>
          <w:rFonts w:ascii="Century Gothic" w:hAnsi="Century Gothic" w:cs="Arial"/>
          <w:szCs w:val="22"/>
        </w:rPr>
      </w:pPr>
      <w:proofErr w:type="gramStart"/>
      <w:r w:rsidRPr="00B3037E">
        <w:rPr>
          <w:rFonts w:ascii="Century Gothic" w:hAnsi="Century Gothic" w:cs="Arial"/>
          <w:szCs w:val="22"/>
        </w:rPr>
        <w:t xml:space="preserve">3. </w:t>
      </w:r>
      <w:proofErr w:type="spellStart"/>
      <w:r w:rsidRPr="00B3037E">
        <w:rPr>
          <w:rFonts w:ascii="Century Gothic" w:hAnsi="Century Gothic" w:cs="Arial"/>
          <w:szCs w:val="22"/>
        </w:rPr>
        <w:t>Kalyan</w:t>
      </w:r>
      <w:proofErr w:type="spellEnd"/>
      <w:r w:rsidRPr="00B3037E">
        <w:rPr>
          <w:rFonts w:ascii="Century Gothic" w:hAnsi="Century Gothic" w:cs="Arial"/>
          <w:szCs w:val="22"/>
        </w:rPr>
        <w:t xml:space="preserve"> Das v. Ganga </w:t>
      </w:r>
      <w:proofErr w:type="spellStart"/>
      <w:r w:rsidRPr="00B3037E">
        <w:rPr>
          <w:rFonts w:ascii="Century Gothic" w:hAnsi="Century Gothic" w:cs="Arial"/>
          <w:szCs w:val="22"/>
        </w:rPr>
        <w:t>Bai</w:t>
      </w:r>
      <w:proofErr w:type="spellEnd"/>
      <w:r w:rsidRPr="00B3037E">
        <w:rPr>
          <w:rFonts w:ascii="Century Gothic" w:hAnsi="Century Gothic" w:cs="Arial"/>
          <w:szCs w:val="22"/>
        </w:rPr>
        <w:t>, A. I. R. 1961 M. P. 67.</w:t>
      </w:r>
      <w:proofErr w:type="gramEnd"/>
    </w:p>
    <w:p w:rsidR="00AC26AD" w:rsidRPr="00B3037E" w:rsidRDefault="00AC26AD" w:rsidP="00B3037E">
      <w:pPr>
        <w:pStyle w:val="NormalWeb"/>
        <w:spacing w:line="276" w:lineRule="auto"/>
        <w:ind w:left="1440"/>
        <w:rPr>
          <w:rFonts w:ascii="Century Gothic" w:hAnsi="Century Gothic" w:cs="Arial"/>
          <w:szCs w:val="22"/>
        </w:rPr>
      </w:pPr>
      <w:proofErr w:type="gramStart"/>
      <w:r w:rsidRPr="00B3037E">
        <w:rPr>
          <w:rFonts w:ascii="Century Gothic" w:hAnsi="Century Gothic" w:cs="Arial"/>
          <w:szCs w:val="22"/>
        </w:rPr>
        <w:t xml:space="preserve">4. Nain Singh v. </w:t>
      </w:r>
      <w:proofErr w:type="spellStart"/>
      <w:r w:rsidRPr="00B3037E">
        <w:rPr>
          <w:rFonts w:ascii="Century Gothic" w:hAnsi="Century Gothic" w:cs="Arial"/>
          <w:szCs w:val="22"/>
        </w:rPr>
        <w:t>Mahendra</w:t>
      </w:r>
      <w:proofErr w:type="spellEnd"/>
      <w:r w:rsidRPr="00B3037E">
        <w:rPr>
          <w:rFonts w:ascii="Century Gothic" w:hAnsi="Century Gothic" w:cs="Arial"/>
          <w:szCs w:val="22"/>
        </w:rPr>
        <w:t>, A. I. R. 1952 All.</w:t>
      </w:r>
      <w:proofErr w:type="gramEnd"/>
      <w:r w:rsidRPr="00B3037E">
        <w:rPr>
          <w:rFonts w:ascii="Century Gothic" w:hAnsi="Century Gothic" w:cs="Arial"/>
          <w:szCs w:val="22"/>
        </w:rPr>
        <w:t xml:space="preserve"> 196.</w:t>
      </w:r>
    </w:p>
    <w:p w:rsidR="00AC26AD" w:rsidRPr="00B3037E" w:rsidRDefault="00AC26AD" w:rsidP="00B3037E">
      <w:pPr>
        <w:pStyle w:val="NormalWeb"/>
        <w:spacing w:line="276" w:lineRule="auto"/>
        <w:ind w:left="1440"/>
        <w:rPr>
          <w:rFonts w:ascii="Century Gothic" w:hAnsi="Century Gothic" w:cs="Arial"/>
          <w:szCs w:val="22"/>
        </w:rPr>
      </w:pPr>
      <w:r w:rsidRPr="00B3037E">
        <w:rPr>
          <w:rFonts w:ascii="Century Gothic" w:hAnsi="Century Gothic" w:cs="Arial"/>
          <w:szCs w:val="22"/>
        </w:rPr>
        <w:t xml:space="preserve">5. </w:t>
      </w:r>
      <w:proofErr w:type="spellStart"/>
      <w:r w:rsidRPr="00B3037E">
        <w:rPr>
          <w:rFonts w:ascii="Century Gothic" w:hAnsi="Century Gothic" w:cs="Arial"/>
          <w:szCs w:val="22"/>
        </w:rPr>
        <w:t>Ishwarappa</w:t>
      </w:r>
      <w:proofErr w:type="spellEnd"/>
      <w:r w:rsidRPr="00B3037E">
        <w:rPr>
          <w:rFonts w:ascii="Century Gothic" w:hAnsi="Century Gothic" w:cs="Arial"/>
          <w:szCs w:val="22"/>
        </w:rPr>
        <w:t xml:space="preserve"> v. </w:t>
      </w:r>
      <w:proofErr w:type="spellStart"/>
      <w:r w:rsidRPr="00B3037E">
        <w:rPr>
          <w:rFonts w:ascii="Century Gothic" w:hAnsi="Century Gothic" w:cs="Arial"/>
          <w:szCs w:val="22"/>
        </w:rPr>
        <w:t>Dhanji</w:t>
      </w:r>
      <w:proofErr w:type="spellEnd"/>
      <w:r w:rsidRPr="00B3037E">
        <w:rPr>
          <w:rFonts w:ascii="Century Gothic" w:hAnsi="Century Gothic" w:cs="Arial"/>
          <w:szCs w:val="22"/>
        </w:rPr>
        <w:t xml:space="preserve">, I. L. R. (1932) </w:t>
      </w:r>
      <w:proofErr w:type="spellStart"/>
      <w:r w:rsidRPr="00B3037E">
        <w:rPr>
          <w:rFonts w:ascii="Century Gothic" w:hAnsi="Century Gothic" w:cs="Arial"/>
          <w:szCs w:val="22"/>
        </w:rPr>
        <w:t>Bom</w:t>
      </w:r>
      <w:proofErr w:type="spellEnd"/>
      <w:r w:rsidRPr="00B3037E">
        <w:rPr>
          <w:rFonts w:ascii="Century Gothic" w:hAnsi="Century Gothic" w:cs="Arial"/>
          <w:szCs w:val="22"/>
        </w:rPr>
        <w:t xml:space="preserve">. 56: A. I. R. 1982 </w:t>
      </w:r>
      <w:proofErr w:type="spellStart"/>
      <w:r w:rsidRPr="00B3037E">
        <w:rPr>
          <w:rFonts w:ascii="Century Gothic" w:hAnsi="Century Gothic" w:cs="Arial"/>
          <w:szCs w:val="22"/>
        </w:rPr>
        <w:t>Bom</w:t>
      </w:r>
      <w:proofErr w:type="spellEnd"/>
      <w:r w:rsidRPr="00B3037E">
        <w:rPr>
          <w:rFonts w:ascii="Century Gothic" w:hAnsi="Century Gothic" w:cs="Arial"/>
          <w:szCs w:val="22"/>
        </w:rPr>
        <w:t>. 111.</w:t>
      </w:r>
    </w:p>
    <w:p w:rsidR="00AC26AD" w:rsidRPr="00B3037E" w:rsidRDefault="00AC26AD" w:rsidP="00B3037E">
      <w:pPr>
        <w:pStyle w:val="NormalWeb"/>
        <w:spacing w:line="276" w:lineRule="auto"/>
        <w:ind w:left="1440"/>
        <w:rPr>
          <w:rFonts w:ascii="Century Gothic" w:hAnsi="Century Gothic" w:cs="Arial"/>
          <w:szCs w:val="22"/>
        </w:rPr>
      </w:pPr>
      <w:r w:rsidRPr="00B3037E">
        <w:rPr>
          <w:rFonts w:ascii="Century Gothic" w:hAnsi="Century Gothic" w:cs="Arial"/>
          <w:szCs w:val="22"/>
        </w:rPr>
        <w:t xml:space="preserve">6. </w:t>
      </w:r>
      <w:proofErr w:type="spellStart"/>
      <w:r w:rsidRPr="00B3037E">
        <w:rPr>
          <w:rFonts w:ascii="Century Gothic" w:hAnsi="Century Gothic" w:cs="Arial"/>
          <w:szCs w:val="22"/>
        </w:rPr>
        <w:t>Chandi</w:t>
      </w:r>
      <w:proofErr w:type="spellEnd"/>
      <w:r w:rsidRPr="00B3037E">
        <w:rPr>
          <w:rFonts w:ascii="Century Gothic" w:hAnsi="Century Gothic" w:cs="Arial"/>
          <w:szCs w:val="22"/>
        </w:rPr>
        <w:t xml:space="preserve"> </w:t>
      </w:r>
      <w:proofErr w:type="spellStart"/>
      <w:r w:rsidRPr="00B3037E">
        <w:rPr>
          <w:rFonts w:ascii="Century Gothic" w:hAnsi="Century Gothic" w:cs="Arial"/>
          <w:szCs w:val="22"/>
        </w:rPr>
        <w:t>Charan</w:t>
      </w:r>
      <w:proofErr w:type="spellEnd"/>
      <w:r w:rsidRPr="00B3037E">
        <w:rPr>
          <w:rFonts w:ascii="Century Gothic" w:hAnsi="Century Gothic" w:cs="Arial"/>
          <w:szCs w:val="22"/>
        </w:rPr>
        <w:t xml:space="preserve"> Das v. </w:t>
      </w:r>
      <w:proofErr w:type="spellStart"/>
      <w:r w:rsidRPr="00B3037E">
        <w:rPr>
          <w:rFonts w:ascii="Century Gothic" w:hAnsi="Century Gothic" w:cs="Arial"/>
          <w:szCs w:val="22"/>
        </w:rPr>
        <w:t>Susila</w:t>
      </w:r>
      <w:proofErr w:type="spellEnd"/>
      <w:r w:rsidRPr="00B3037E">
        <w:rPr>
          <w:rFonts w:ascii="Century Gothic" w:hAnsi="Century Gothic" w:cs="Arial"/>
          <w:szCs w:val="22"/>
        </w:rPr>
        <w:t xml:space="preserve"> </w:t>
      </w:r>
      <w:proofErr w:type="spellStart"/>
      <w:r w:rsidRPr="00B3037E">
        <w:rPr>
          <w:rFonts w:ascii="Century Gothic" w:hAnsi="Century Gothic" w:cs="Arial"/>
          <w:szCs w:val="22"/>
        </w:rPr>
        <w:t>Bala</w:t>
      </w:r>
      <w:proofErr w:type="spellEnd"/>
      <w:r w:rsidRPr="00B3037E">
        <w:rPr>
          <w:rFonts w:ascii="Century Gothic" w:hAnsi="Century Gothic" w:cs="Arial"/>
          <w:szCs w:val="22"/>
        </w:rPr>
        <w:t xml:space="preserve"> </w:t>
      </w:r>
      <w:proofErr w:type="spellStart"/>
      <w:r w:rsidRPr="00B3037E">
        <w:rPr>
          <w:rFonts w:ascii="Century Gothic" w:hAnsi="Century Gothic" w:cs="Arial"/>
          <w:szCs w:val="22"/>
        </w:rPr>
        <w:t>Dasi</w:t>
      </w:r>
      <w:proofErr w:type="spellEnd"/>
      <w:r w:rsidRPr="00B3037E">
        <w:rPr>
          <w:rFonts w:ascii="Century Gothic" w:hAnsi="Century Gothic" w:cs="Arial"/>
          <w:szCs w:val="22"/>
        </w:rPr>
        <w:t>, A. I. R. 1955 Cal. 144: 59 C. W. N. 606</w:t>
      </w:r>
    </w:p>
    <w:p w:rsidR="00AC26AD" w:rsidRPr="00B3037E" w:rsidRDefault="00AC26AD" w:rsidP="00B3037E">
      <w:pPr>
        <w:pStyle w:val="NormalWeb"/>
        <w:spacing w:line="276" w:lineRule="auto"/>
        <w:ind w:left="1440"/>
        <w:rPr>
          <w:rFonts w:ascii="Century Gothic" w:hAnsi="Century Gothic" w:cs="Arial"/>
          <w:szCs w:val="22"/>
        </w:rPr>
      </w:pPr>
      <w:proofErr w:type="gramStart"/>
      <w:r w:rsidRPr="00B3037E">
        <w:rPr>
          <w:rFonts w:ascii="Century Gothic" w:hAnsi="Century Gothic" w:cs="Arial"/>
          <w:szCs w:val="22"/>
        </w:rPr>
        <w:t xml:space="preserve">7. </w:t>
      </w:r>
      <w:proofErr w:type="spellStart"/>
      <w:r w:rsidRPr="00B3037E">
        <w:rPr>
          <w:rFonts w:ascii="Century Gothic" w:hAnsi="Century Gothic" w:cs="Arial"/>
          <w:szCs w:val="22"/>
        </w:rPr>
        <w:t>Ganeshi</w:t>
      </w:r>
      <w:proofErr w:type="spellEnd"/>
      <w:r w:rsidRPr="00B3037E">
        <w:rPr>
          <w:rFonts w:ascii="Century Gothic" w:hAnsi="Century Gothic" w:cs="Arial"/>
          <w:szCs w:val="22"/>
        </w:rPr>
        <w:t xml:space="preserve"> </w:t>
      </w:r>
      <w:proofErr w:type="spellStart"/>
      <w:r w:rsidRPr="00B3037E">
        <w:rPr>
          <w:rFonts w:ascii="Century Gothic" w:hAnsi="Century Gothic" w:cs="Arial"/>
          <w:szCs w:val="22"/>
        </w:rPr>
        <w:t>Lal</w:t>
      </w:r>
      <w:proofErr w:type="spellEnd"/>
      <w:r w:rsidRPr="00B3037E">
        <w:rPr>
          <w:rFonts w:ascii="Century Gothic" w:hAnsi="Century Gothic" w:cs="Arial"/>
          <w:szCs w:val="22"/>
        </w:rPr>
        <w:t xml:space="preserve"> v. </w:t>
      </w:r>
      <w:proofErr w:type="spellStart"/>
      <w:r w:rsidRPr="00B3037E">
        <w:rPr>
          <w:rFonts w:ascii="Century Gothic" w:hAnsi="Century Gothic" w:cs="Arial"/>
          <w:szCs w:val="22"/>
        </w:rPr>
        <w:t>Snehalata</w:t>
      </w:r>
      <w:proofErr w:type="spellEnd"/>
      <w:r w:rsidRPr="00B3037E">
        <w:rPr>
          <w:rFonts w:ascii="Century Gothic" w:hAnsi="Century Gothic" w:cs="Arial"/>
          <w:szCs w:val="22"/>
        </w:rPr>
        <w:t>, A. I. R. 1947 Cal. 68: 51 C. W. N. 136.</w:t>
      </w:r>
      <w:proofErr w:type="gramEnd"/>
    </w:p>
    <w:p w:rsidR="00AC26AD" w:rsidRPr="00B3037E" w:rsidRDefault="00AC26AD" w:rsidP="00B3037E">
      <w:pPr>
        <w:spacing w:line="276" w:lineRule="auto"/>
        <w:rPr>
          <w:rFonts w:ascii="Century Gothic" w:hAnsi="Century Gothic" w:cs="Arial"/>
          <w:szCs w:val="22"/>
        </w:rPr>
      </w:pPr>
    </w:p>
    <w:bookmarkEnd w:id="0"/>
    <w:p w:rsidR="00270574" w:rsidRPr="00B3037E" w:rsidRDefault="00270574" w:rsidP="00B3037E">
      <w:pPr>
        <w:spacing w:line="276" w:lineRule="auto"/>
        <w:rPr>
          <w:rFonts w:ascii="Century Gothic" w:hAnsi="Century Gothic" w:cs="Arial"/>
          <w:szCs w:val="22"/>
        </w:rPr>
      </w:pPr>
    </w:p>
    <w:sectPr w:rsidR="00270574" w:rsidRPr="00B3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F7"/>
    <w:rsid w:val="00270574"/>
    <w:rsid w:val="003C15F7"/>
    <w:rsid w:val="00481A0F"/>
    <w:rsid w:val="00AC26AD"/>
    <w:rsid w:val="00B3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A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26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A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26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REPLY%20TO%20THE%20OBJECTION%20OF%20THE%20DEFEND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REPLY TO THE OBJECTION OF THE DEFENDANT</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2024-06-15T13:54:00Z</dcterms:created>
  <dcterms:modified xsi:type="dcterms:W3CDTF">2024-06-15T13:54:00Z</dcterms:modified>
</cp:coreProperties>
</file>