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50" w:rsidRPr="00BA3D36" w:rsidRDefault="00B33350" w:rsidP="00BA3D36">
      <w:pPr>
        <w:pStyle w:val="NormalWeb"/>
        <w:spacing w:line="276" w:lineRule="auto"/>
        <w:jc w:val="center"/>
        <w:rPr>
          <w:rFonts w:ascii="Century Gothic" w:hAnsi="Century Gothic" w:cs="Arial"/>
          <w:b/>
          <w:bCs/>
          <w:szCs w:val="22"/>
        </w:rPr>
      </w:pPr>
      <w:bookmarkStart w:id="0" w:name="_GoBack"/>
      <w:r w:rsidRPr="00BA3D36">
        <w:rPr>
          <w:rFonts w:ascii="Century Gothic" w:hAnsi="Century Gothic" w:cs="Arial"/>
          <w:b/>
          <w:bCs/>
          <w:szCs w:val="22"/>
        </w:rPr>
        <w:t>SECURITY BOND TO BE GIVEN ON ORDER BEING MADE TO STAY EXECUTION OF DECREE (O. 41, R. 5</w:t>
      </w:r>
      <w:proofErr w:type="gramStart"/>
      <w:r w:rsidRPr="00BA3D36">
        <w:rPr>
          <w:rFonts w:ascii="Century Gothic" w:hAnsi="Century Gothic" w:cs="Arial"/>
          <w:b/>
          <w:bCs/>
          <w:szCs w:val="22"/>
        </w:rPr>
        <w:t>. )</w:t>
      </w:r>
      <w:proofErr w:type="gramEnd"/>
      <w:r w:rsidRPr="00BA3D36">
        <w:rPr>
          <w:rFonts w:ascii="Century Gothic" w:hAnsi="Century Gothic" w:cs="Arial"/>
          <w:b/>
          <w:bCs/>
          <w:szCs w:val="22"/>
        </w:rPr>
        <w:t>.</w:t>
      </w:r>
    </w:p>
    <w:p w:rsidR="00B33350" w:rsidRPr="00BA3D36" w:rsidRDefault="00B33350" w:rsidP="00BA3D36">
      <w:pPr>
        <w:pStyle w:val="NormalWeb"/>
        <w:spacing w:line="276" w:lineRule="auto"/>
        <w:jc w:val="center"/>
        <w:rPr>
          <w:rFonts w:ascii="Century Gothic" w:hAnsi="Century Gothic" w:cs="Arial"/>
          <w:i/>
          <w:iCs/>
          <w:szCs w:val="22"/>
        </w:rPr>
      </w:pPr>
      <w:r w:rsidRPr="00BA3D36">
        <w:rPr>
          <w:rFonts w:ascii="Century Gothic" w:hAnsi="Century Gothic" w:cs="Arial"/>
          <w:i/>
          <w:iCs/>
          <w:szCs w:val="22"/>
        </w:rPr>
        <w:t xml:space="preserve">(Title) </w:t>
      </w:r>
    </w:p>
    <w:p w:rsidR="00B33350" w:rsidRPr="00BA3D36" w:rsidRDefault="00B33350" w:rsidP="00BA3D36">
      <w:pPr>
        <w:pStyle w:val="NormalWeb"/>
        <w:spacing w:line="276" w:lineRule="auto"/>
        <w:rPr>
          <w:rFonts w:ascii="Century Gothic" w:hAnsi="Century Gothic" w:cs="Arial"/>
          <w:szCs w:val="22"/>
        </w:rPr>
      </w:pPr>
      <w:r w:rsidRPr="00BA3D36">
        <w:rPr>
          <w:rFonts w:ascii="Century Gothic" w:hAnsi="Century Gothic" w:cs="Arial"/>
          <w:szCs w:val="22"/>
        </w:rPr>
        <w:t>To</w:t>
      </w:r>
    </w:p>
    <w:p w:rsidR="00B33350" w:rsidRPr="00BA3D36" w:rsidRDefault="00B33350" w:rsidP="00BA3D36">
      <w:pPr>
        <w:pStyle w:val="NormalWeb"/>
        <w:spacing w:line="276" w:lineRule="auto"/>
        <w:jc w:val="both"/>
        <w:rPr>
          <w:rFonts w:ascii="Century Gothic" w:hAnsi="Century Gothic" w:cs="Arial"/>
          <w:szCs w:val="22"/>
        </w:rPr>
      </w:pPr>
      <w:r w:rsidRPr="00BA3D36">
        <w:rPr>
          <w:rFonts w:ascii="Century Gothic" w:hAnsi="Century Gothic" w:cs="Arial"/>
          <w:szCs w:val="22"/>
        </w:rPr>
        <w:t xml:space="preserve">This security bond on stay of execution of decree executed by.................. </w:t>
      </w:r>
      <w:proofErr w:type="spellStart"/>
      <w:r w:rsidRPr="00BA3D36">
        <w:rPr>
          <w:rFonts w:ascii="Century Gothic" w:hAnsi="Century Gothic" w:cs="Arial"/>
          <w:szCs w:val="22"/>
        </w:rPr>
        <w:t>witnesseth</w:t>
      </w:r>
      <w:proofErr w:type="spellEnd"/>
      <w:r w:rsidRPr="00BA3D36">
        <w:rPr>
          <w:rFonts w:ascii="Century Gothic" w:hAnsi="Century Gothic" w:cs="Arial"/>
          <w:szCs w:val="22"/>
        </w:rPr>
        <w:t>:</w:t>
      </w:r>
    </w:p>
    <w:p w:rsidR="00B33350" w:rsidRPr="00BA3D36" w:rsidRDefault="00B33350" w:rsidP="00BA3D36">
      <w:pPr>
        <w:pStyle w:val="NormalWeb"/>
        <w:spacing w:line="276" w:lineRule="auto"/>
        <w:jc w:val="both"/>
        <w:rPr>
          <w:rFonts w:ascii="Century Gothic" w:hAnsi="Century Gothic" w:cs="Arial"/>
          <w:szCs w:val="22"/>
        </w:rPr>
      </w:pPr>
      <w:r w:rsidRPr="00BA3D36">
        <w:rPr>
          <w:rFonts w:ascii="Century Gothic" w:hAnsi="Century Gothic" w:cs="Arial"/>
          <w:szCs w:val="22"/>
        </w:rPr>
        <w:t xml:space="preserve">That................... the plaintiff in Suit No................... of 19................... </w:t>
      </w:r>
      <w:proofErr w:type="gramStart"/>
      <w:r w:rsidRPr="00BA3D36">
        <w:rPr>
          <w:rFonts w:ascii="Century Gothic" w:hAnsi="Century Gothic" w:cs="Arial"/>
          <w:szCs w:val="22"/>
        </w:rPr>
        <w:t>having</w:t>
      </w:r>
      <w:proofErr w:type="gramEnd"/>
      <w:r w:rsidRPr="00BA3D36">
        <w:rPr>
          <w:rFonts w:ascii="Century Gothic" w:hAnsi="Century Gothic" w:cs="Arial"/>
          <w:szCs w:val="22"/>
        </w:rPr>
        <w:t xml:space="preserve"> sued.................., the defendant, in this Court and a decree having been passed on the............... day of.................. 19.................. </w:t>
      </w:r>
      <w:proofErr w:type="gramStart"/>
      <w:r w:rsidRPr="00BA3D36">
        <w:rPr>
          <w:rFonts w:ascii="Century Gothic" w:hAnsi="Century Gothic" w:cs="Arial"/>
          <w:szCs w:val="22"/>
        </w:rPr>
        <w:t>in</w:t>
      </w:r>
      <w:proofErr w:type="gramEnd"/>
      <w:r w:rsidRPr="00BA3D36">
        <w:rPr>
          <w:rFonts w:ascii="Century Gothic" w:hAnsi="Century Gothic" w:cs="Arial"/>
          <w:szCs w:val="22"/>
        </w:rPr>
        <w:t xml:space="preserve"> </w:t>
      </w:r>
      <w:proofErr w:type="spellStart"/>
      <w:r w:rsidRPr="00BA3D36">
        <w:rPr>
          <w:rFonts w:ascii="Century Gothic" w:hAnsi="Century Gothic" w:cs="Arial"/>
          <w:szCs w:val="22"/>
        </w:rPr>
        <w:t>favour</w:t>
      </w:r>
      <w:proofErr w:type="spellEnd"/>
      <w:r w:rsidRPr="00BA3D36">
        <w:rPr>
          <w:rFonts w:ascii="Century Gothic" w:hAnsi="Century Gothic" w:cs="Arial"/>
          <w:szCs w:val="22"/>
        </w:rPr>
        <w:t xml:space="preserve"> of the plaintiff, and the defendant having preferred an appeal from the said decree in the.................. Court, the said appeal is still pending.</w:t>
      </w:r>
    </w:p>
    <w:p w:rsidR="00B33350" w:rsidRPr="00BA3D36" w:rsidRDefault="00B33350" w:rsidP="00BA3D36">
      <w:pPr>
        <w:pStyle w:val="NormalWeb"/>
        <w:spacing w:line="276" w:lineRule="auto"/>
        <w:jc w:val="both"/>
        <w:rPr>
          <w:rFonts w:ascii="Century Gothic" w:hAnsi="Century Gothic" w:cs="Arial"/>
          <w:szCs w:val="22"/>
        </w:rPr>
      </w:pPr>
      <w:r w:rsidRPr="00BA3D36">
        <w:rPr>
          <w:rFonts w:ascii="Century Gothic" w:hAnsi="Century Gothic" w:cs="Arial"/>
          <w:szCs w:val="22"/>
        </w:rPr>
        <w:t xml:space="preserve">Now the plaintiff decree-holder having applied to execute the decree, the defendant has made an application praying for stay of execution </w:t>
      </w:r>
      <w:proofErr w:type="spellStart"/>
      <w:r w:rsidRPr="00BA3D36">
        <w:rPr>
          <w:rFonts w:ascii="Century Gothic" w:hAnsi="Century Gothic" w:cs="Arial"/>
          <w:szCs w:val="22"/>
        </w:rPr>
        <w:t>andhas</w:t>
      </w:r>
      <w:proofErr w:type="spellEnd"/>
      <w:r w:rsidRPr="00BA3D36">
        <w:rPr>
          <w:rFonts w:ascii="Century Gothic" w:hAnsi="Century Gothic" w:cs="Arial"/>
          <w:szCs w:val="22"/>
        </w:rPr>
        <w:t xml:space="preserve"> been called upon to furnish security. Accordingly I, of my own free will, stand security to the extent of </w:t>
      </w:r>
      <w:proofErr w:type="spellStart"/>
      <w:r w:rsidRPr="00BA3D36">
        <w:rPr>
          <w:rFonts w:ascii="Century Gothic" w:hAnsi="Century Gothic" w:cs="Arial"/>
          <w:szCs w:val="22"/>
        </w:rPr>
        <w:t>Rs</w:t>
      </w:r>
      <w:proofErr w:type="spellEnd"/>
      <w:r w:rsidRPr="00BA3D36">
        <w:rPr>
          <w:rFonts w:ascii="Century Gothic" w:hAnsi="Century Gothic" w:cs="Arial"/>
          <w:szCs w:val="22"/>
        </w:rPr>
        <w:t>................... mortgaging the properties specified in the schedule hereunto annexed, and covenant that if the decree of the first Court be confirmed or varied by the Appellate Court the said defendant shall duly act in accordance with the decree of the Appellate Court and shall pay whatever may be payable by him thereunder, and if he should fails therein then any amount so payable shall be realized from the properties hereby mortgaged, and if the proceeds of the sale of the said properties are insufficient to pay the amount due, aid my legal representatives will be personally liable to pay the balance. To this effect I execute this security bond this.................. day of.................. 19..................</w:t>
      </w:r>
    </w:p>
    <w:p w:rsidR="00B33350" w:rsidRPr="00BA3D36" w:rsidRDefault="00B33350" w:rsidP="00BA3D36">
      <w:pPr>
        <w:pStyle w:val="NormalWeb"/>
        <w:spacing w:line="276" w:lineRule="auto"/>
        <w:jc w:val="center"/>
        <w:rPr>
          <w:rFonts w:ascii="Century Gothic" w:hAnsi="Century Gothic" w:cs="Arial"/>
          <w:szCs w:val="22"/>
        </w:rPr>
      </w:pPr>
      <w:r w:rsidRPr="00BA3D36">
        <w:rPr>
          <w:rFonts w:ascii="Century Gothic" w:hAnsi="Century Gothic" w:cs="Arial"/>
          <w:szCs w:val="22"/>
        </w:rPr>
        <w:t>Schedule</w:t>
      </w:r>
    </w:p>
    <w:p w:rsidR="00B33350" w:rsidRPr="00BA3D36" w:rsidRDefault="00B33350" w:rsidP="00BA3D36">
      <w:pPr>
        <w:pStyle w:val="NormalWeb"/>
        <w:spacing w:line="276" w:lineRule="auto"/>
        <w:jc w:val="right"/>
        <w:rPr>
          <w:rFonts w:ascii="Century Gothic" w:hAnsi="Century Gothic" w:cs="Arial"/>
          <w:szCs w:val="22"/>
        </w:rPr>
      </w:pPr>
      <w:r w:rsidRPr="00BA3D36">
        <w:rPr>
          <w:rFonts w:ascii="Century Gothic" w:hAnsi="Century Gothic" w:cs="Arial"/>
          <w:szCs w:val="22"/>
        </w:rPr>
        <w:t xml:space="preserve">(Signed) </w:t>
      </w:r>
    </w:p>
    <w:p w:rsidR="00B33350" w:rsidRPr="00BA3D36" w:rsidRDefault="00B33350" w:rsidP="00BA3D36">
      <w:pPr>
        <w:pStyle w:val="NormalWeb"/>
        <w:spacing w:line="276" w:lineRule="auto"/>
        <w:rPr>
          <w:rFonts w:ascii="Century Gothic" w:hAnsi="Century Gothic" w:cs="Arial"/>
          <w:szCs w:val="22"/>
        </w:rPr>
      </w:pPr>
      <w:r w:rsidRPr="00BA3D36">
        <w:rPr>
          <w:rFonts w:ascii="Century Gothic" w:hAnsi="Century Gothic" w:cs="Arial"/>
          <w:szCs w:val="22"/>
        </w:rPr>
        <w:t>Witnessed by</w:t>
      </w:r>
    </w:p>
    <w:p w:rsidR="00B33350" w:rsidRPr="00BA3D36" w:rsidRDefault="00B33350" w:rsidP="00BA3D36">
      <w:pPr>
        <w:pStyle w:val="NormalWeb"/>
        <w:spacing w:line="276" w:lineRule="auto"/>
        <w:rPr>
          <w:rFonts w:ascii="Century Gothic" w:hAnsi="Century Gothic" w:cs="Arial"/>
          <w:szCs w:val="22"/>
        </w:rPr>
      </w:pPr>
      <w:r w:rsidRPr="00BA3D36">
        <w:rPr>
          <w:rFonts w:ascii="Century Gothic" w:hAnsi="Century Gothic" w:cs="Arial"/>
          <w:szCs w:val="22"/>
        </w:rPr>
        <w:t>1...................</w:t>
      </w:r>
    </w:p>
    <w:p w:rsidR="00B33350" w:rsidRPr="00BA3D36" w:rsidRDefault="00B33350" w:rsidP="00BA3D36">
      <w:pPr>
        <w:pStyle w:val="NormalWeb"/>
        <w:spacing w:line="276" w:lineRule="auto"/>
        <w:rPr>
          <w:rFonts w:ascii="Century Gothic" w:hAnsi="Century Gothic" w:cs="Arial"/>
          <w:szCs w:val="22"/>
        </w:rPr>
      </w:pPr>
      <w:r w:rsidRPr="00BA3D36">
        <w:rPr>
          <w:rFonts w:ascii="Century Gothic" w:hAnsi="Century Gothic" w:cs="Arial"/>
          <w:szCs w:val="22"/>
        </w:rPr>
        <w:t>2...................</w:t>
      </w:r>
    </w:p>
    <w:p w:rsidR="00B33350" w:rsidRPr="00BA3D36" w:rsidRDefault="00B33350" w:rsidP="00BA3D36">
      <w:pPr>
        <w:pStyle w:val="NormalWeb"/>
        <w:spacing w:line="276" w:lineRule="auto"/>
        <w:jc w:val="center"/>
        <w:rPr>
          <w:rFonts w:ascii="Century Gothic" w:hAnsi="Century Gothic" w:cs="Arial"/>
          <w:b/>
          <w:bCs/>
          <w:szCs w:val="22"/>
        </w:rPr>
      </w:pPr>
      <w:r w:rsidRPr="00BA3D36">
        <w:rPr>
          <w:rFonts w:ascii="Century Gothic" w:hAnsi="Century Gothic" w:cs="Arial"/>
          <w:b/>
          <w:bCs/>
          <w:szCs w:val="22"/>
        </w:rPr>
        <w:lastRenderedPageBreak/>
        <w:t>CASE LAW</w:t>
      </w:r>
    </w:p>
    <w:p w:rsidR="00B33350" w:rsidRPr="00BA3D36" w:rsidRDefault="00B33350" w:rsidP="00BA3D36">
      <w:pPr>
        <w:pStyle w:val="NormalWeb"/>
        <w:spacing w:line="276" w:lineRule="auto"/>
        <w:jc w:val="both"/>
        <w:rPr>
          <w:rFonts w:ascii="Century Gothic" w:hAnsi="Century Gothic" w:cs="Arial"/>
          <w:b/>
          <w:bCs/>
          <w:i/>
          <w:iCs/>
          <w:szCs w:val="22"/>
        </w:rPr>
      </w:pPr>
      <w:r w:rsidRPr="00BA3D36">
        <w:rPr>
          <w:rFonts w:ascii="Century Gothic" w:hAnsi="Century Gothic" w:cs="Arial"/>
          <w:b/>
          <w:bCs/>
          <w:i/>
          <w:iCs/>
          <w:szCs w:val="22"/>
        </w:rPr>
        <w:t>Order 41, Rule 5</w:t>
      </w:r>
    </w:p>
    <w:p w:rsidR="00B33350" w:rsidRPr="00BA3D36" w:rsidRDefault="00B33350" w:rsidP="00BA3D36">
      <w:pPr>
        <w:pStyle w:val="NormalWeb"/>
        <w:spacing w:line="276" w:lineRule="auto"/>
        <w:jc w:val="both"/>
        <w:rPr>
          <w:rFonts w:ascii="Century Gothic" w:hAnsi="Century Gothic" w:cs="Arial"/>
          <w:b/>
          <w:bCs/>
          <w:szCs w:val="22"/>
        </w:rPr>
      </w:pPr>
      <w:r w:rsidRPr="00BA3D36">
        <w:rPr>
          <w:rFonts w:ascii="Century Gothic" w:hAnsi="Century Gothic" w:cs="Arial"/>
          <w:b/>
          <w:bCs/>
          <w:szCs w:val="22"/>
        </w:rPr>
        <w:t>SCOPE OF THE PROVISION—REFUND TO JUDGMENT-DEBTOR WHEN NOT PROPER.</w:t>
      </w:r>
    </w:p>
    <w:p w:rsidR="00B33350" w:rsidRPr="00BA3D36" w:rsidRDefault="00B33350" w:rsidP="00BA3D36">
      <w:pPr>
        <w:pStyle w:val="NormalWeb"/>
        <w:spacing w:line="276" w:lineRule="auto"/>
        <w:jc w:val="both"/>
        <w:rPr>
          <w:rFonts w:ascii="Century Gothic" w:hAnsi="Century Gothic" w:cs="Arial"/>
          <w:szCs w:val="22"/>
        </w:rPr>
      </w:pPr>
      <w:r w:rsidRPr="00BA3D36">
        <w:rPr>
          <w:rFonts w:ascii="Century Gothic" w:hAnsi="Century Gothic" w:cs="Arial"/>
          <w:szCs w:val="22"/>
        </w:rPr>
        <w:t xml:space="preserve">In the absence of an order of stay the decree was executable and the judgment-debtor deposited the </w:t>
      </w:r>
      <w:proofErr w:type="spellStart"/>
      <w:r w:rsidRPr="00BA3D36">
        <w:rPr>
          <w:rFonts w:ascii="Century Gothic" w:hAnsi="Century Gothic" w:cs="Arial"/>
          <w:szCs w:val="22"/>
        </w:rPr>
        <w:t>decretal</w:t>
      </w:r>
      <w:proofErr w:type="spellEnd"/>
      <w:r w:rsidRPr="00BA3D36">
        <w:rPr>
          <w:rFonts w:ascii="Century Gothic" w:hAnsi="Century Gothic" w:cs="Arial"/>
          <w:szCs w:val="22"/>
        </w:rPr>
        <w:t xml:space="preserve"> dues in the Executive Court. Once the </w:t>
      </w:r>
      <w:proofErr w:type="spellStart"/>
      <w:r w:rsidRPr="00BA3D36">
        <w:rPr>
          <w:rFonts w:ascii="Century Gothic" w:hAnsi="Century Gothic" w:cs="Arial"/>
          <w:szCs w:val="22"/>
        </w:rPr>
        <w:t>decretal</w:t>
      </w:r>
      <w:proofErr w:type="spellEnd"/>
      <w:r w:rsidRPr="00BA3D36">
        <w:rPr>
          <w:rFonts w:ascii="Century Gothic" w:hAnsi="Century Gothic" w:cs="Arial"/>
          <w:szCs w:val="22"/>
        </w:rPr>
        <w:t xml:space="preserve"> dues</w:t>
      </w:r>
    </w:p>
    <w:p w:rsidR="00B33350" w:rsidRPr="00BA3D36" w:rsidRDefault="00B33350" w:rsidP="00BA3D36">
      <w:pPr>
        <w:pStyle w:val="NormalWeb"/>
        <w:spacing w:line="276" w:lineRule="auto"/>
        <w:jc w:val="both"/>
        <w:rPr>
          <w:rFonts w:ascii="Century Gothic" w:hAnsi="Century Gothic" w:cs="Arial"/>
          <w:szCs w:val="22"/>
        </w:rPr>
      </w:pPr>
      <w:proofErr w:type="gramStart"/>
      <w:r w:rsidRPr="00BA3D36">
        <w:rPr>
          <w:rFonts w:ascii="Century Gothic" w:hAnsi="Century Gothic" w:cs="Arial"/>
          <w:szCs w:val="22"/>
        </w:rPr>
        <w:t>had</w:t>
      </w:r>
      <w:proofErr w:type="gramEnd"/>
      <w:r w:rsidRPr="00BA3D36">
        <w:rPr>
          <w:rFonts w:ascii="Century Gothic" w:hAnsi="Century Gothic" w:cs="Arial"/>
          <w:szCs w:val="22"/>
        </w:rPr>
        <w:t xml:space="preserve"> come into the Executing Court there was indeed no justification for the direction to refund the same to the judgment-debtor. On the other, the High Court could in its discretion either direct payment of the amount to the decree-holder subject to the terms safeguarding the interest of the judgment-debtor in the eventuality of reversal of the decree or direct the amount to be deposited or invested on terms of interest so that on the disposal of the first appeal appropriate directions could be given1.</w:t>
      </w:r>
    </w:p>
    <w:p w:rsidR="00B33350" w:rsidRPr="00BA3D36" w:rsidRDefault="00B33350" w:rsidP="00BA3D36">
      <w:pPr>
        <w:pStyle w:val="NormalWeb"/>
        <w:spacing w:line="276" w:lineRule="auto"/>
        <w:jc w:val="both"/>
        <w:rPr>
          <w:rFonts w:ascii="Century Gothic" w:hAnsi="Century Gothic" w:cs="Arial"/>
          <w:b/>
          <w:bCs/>
          <w:szCs w:val="22"/>
        </w:rPr>
      </w:pPr>
      <w:r w:rsidRPr="00BA3D36">
        <w:rPr>
          <w:rFonts w:ascii="Century Gothic" w:hAnsi="Century Gothic" w:cs="Arial"/>
          <w:b/>
          <w:bCs/>
          <w:szCs w:val="22"/>
        </w:rPr>
        <w:t>SCOPE OF THE RULE</w:t>
      </w:r>
    </w:p>
    <w:p w:rsidR="00B33350" w:rsidRPr="00BA3D36" w:rsidRDefault="00B33350" w:rsidP="00BA3D36">
      <w:pPr>
        <w:pStyle w:val="NormalWeb"/>
        <w:spacing w:line="276" w:lineRule="auto"/>
        <w:jc w:val="both"/>
        <w:rPr>
          <w:rFonts w:ascii="Century Gothic" w:hAnsi="Century Gothic" w:cs="Arial"/>
          <w:szCs w:val="22"/>
        </w:rPr>
      </w:pPr>
      <w:r w:rsidRPr="00BA3D36">
        <w:rPr>
          <w:rFonts w:ascii="Century Gothic" w:hAnsi="Century Gothic" w:cs="Arial"/>
          <w:szCs w:val="22"/>
        </w:rPr>
        <w:t>There is no universal practice of granting stay in every case in which appeal is filed. It must be asked for and obtained according to facts of the case. This rule equally applies to pre-emption decrees also. It is undoubtedly true that it is a piratical right but once it is granted, it has all the force of a decree and there is no reason why a different rule with regard to the execution of such a decree should be adopted2.</w:t>
      </w:r>
    </w:p>
    <w:p w:rsidR="00B33350" w:rsidRPr="00BA3D36" w:rsidRDefault="00B33350" w:rsidP="00BA3D36">
      <w:pPr>
        <w:pStyle w:val="NormalWeb"/>
        <w:spacing w:line="276" w:lineRule="auto"/>
        <w:jc w:val="both"/>
        <w:rPr>
          <w:rFonts w:ascii="Century Gothic" w:hAnsi="Century Gothic" w:cs="Arial"/>
          <w:b/>
          <w:bCs/>
          <w:szCs w:val="22"/>
        </w:rPr>
      </w:pPr>
      <w:proofErr w:type="gramStart"/>
      <w:r w:rsidRPr="00BA3D36">
        <w:rPr>
          <w:rFonts w:ascii="Century Gothic" w:hAnsi="Century Gothic" w:cs="Arial"/>
          <w:b/>
          <w:bCs/>
          <w:szCs w:val="22"/>
        </w:rPr>
        <w:t>NON-MAINTAINABILITY OF APPEAL AGAINST ORDER OF SINGLE JUDGE.</w:t>
      </w:r>
      <w:proofErr w:type="gramEnd"/>
    </w:p>
    <w:p w:rsidR="00B33350" w:rsidRPr="00BA3D36" w:rsidRDefault="00B33350" w:rsidP="00BA3D36">
      <w:pPr>
        <w:pStyle w:val="NormalWeb"/>
        <w:spacing w:line="276" w:lineRule="auto"/>
        <w:jc w:val="both"/>
        <w:rPr>
          <w:rFonts w:ascii="Century Gothic" w:hAnsi="Century Gothic" w:cs="Arial"/>
          <w:szCs w:val="22"/>
        </w:rPr>
      </w:pPr>
      <w:r w:rsidRPr="00BA3D36">
        <w:rPr>
          <w:rFonts w:ascii="Century Gothic" w:hAnsi="Century Gothic" w:cs="Arial"/>
          <w:szCs w:val="22"/>
        </w:rPr>
        <w:t xml:space="preserve">It could never have been intended by the Legislature that a Division Bench of the High Court might be allowed to hear appeals against orders of interlocutory nature passed by a single Judge on applications like O. 41, R. 5, C. P. C. or other stay applications under Article </w:t>
      </w:r>
      <w:r w:rsidRPr="00BA3D36">
        <w:rPr>
          <w:rFonts w:ascii="Century Gothic" w:hAnsi="Century Gothic" w:cs="Arial"/>
          <w:i/>
          <w:iCs/>
          <w:szCs w:val="22"/>
        </w:rPr>
        <w:t xml:space="preserve">226 </w:t>
      </w:r>
      <w:r w:rsidRPr="00BA3D36">
        <w:rPr>
          <w:rFonts w:ascii="Century Gothic" w:hAnsi="Century Gothic" w:cs="Arial"/>
          <w:szCs w:val="22"/>
        </w:rPr>
        <w:t>or along with petitions under the Company law unless those orders finally and conclusively determine the right of the parties in those proceedings’.</w:t>
      </w:r>
    </w:p>
    <w:p w:rsidR="00B33350" w:rsidRPr="00BA3D36" w:rsidRDefault="00B33350" w:rsidP="00BA3D36">
      <w:pPr>
        <w:pStyle w:val="NormalWeb"/>
        <w:spacing w:line="276" w:lineRule="auto"/>
        <w:jc w:val="center"/>
        <w:rPr>
          <w:rFonts w:ascii="Century Gothic" w:hAnsi="Century Gothic" w:cs="Arial"/>
          <w:b/>
          <w:bCs/>
          <w:szCs w:val="22"/>
        </w:rPr>
      </w:pPr>
      <w:r w:rsidRPr="00BA3D36">
        <w:rPr>
          <w:rFonts w:ascii="Century Gothic" w:hAnsi="Century Gothic" w:cs="Arial"/>
          <w:b/>
          <w:bCs/>
          <w:szCs w:val="22"/>
        </w:rPr>
        <w:t>APPLICATION TO APPEAL IN FORMA PAUPERIS</w:t>
      </w:r>
    </w:p>
    <w:p w:rsidR="00B33350" w:rsidRPr="00BA3D36" w:rsidRDefault="00B33350" w:rsidP="00BA3D36">
      <w:pPr>
        <w:pStyle w:val="NormalWeb"/>
        <w:spacing w:line="276" w:lineRule="auto"/>
        <w:jc w:val="center"/>
        <w:rPr>
          <w:rFonts w:ascii="Century Gothic" w:hAnsi="Century Gothic" w:cs="Arial"/>
          <w:b/>
          <w:bCs/>
          <w:szCs w:val="22"/>
        </w:rPr>
      </w:pPr>
      <w:proofErr w:type="gramStart"/>
      <w:r w:rsidRPr="00BA3D36">
        <w:rPr>
          <w:rFonts w:ascii="Century Gothic" w:hAnsi="Century Gothic" w:cs="Arial"/>
          <w:b/>
          <w:bCs/>
          <w:szCs w:val="22"/>
        </w:rPr>
        <w:t>(O. 44, R. 1.)</w:t>
      </w:r>
      <w:proofErr w:type="gramEnd"/>
    </w:p>
    <w:p w:rsidR="00B33350" w:rsidRPr="00BA3D36" w:rsidRDefault="00B33350" w:rsidP="00BA3D36">
      <w:pPr>
        <w:pStyle w:val="NormalWeb"/>
        <w:spacing w:line="276" w:lineRule="auto"/>
        <w:jc w:val="center"/>
        <w:rPr>
          <w:rFonts w:ascii="Century Gothic" w:hAnsi="Century Gothic" w:cs="Arial"/>
          <w:b/>
          <w:bCs/>
          <w:szCs w:val="22"/>
        </w:rPr>
      </w:pPr>
      <w:r w:rsidRPr="00BA3D36">
        <w:rPr>
          <w:rFonts w:ascii="Century Gothic" w:hAnsi="Century Gothic" w:cs="Arial"/>
          <w:b/>
          <w:bCs/>
          <w:szCs w:val="22"/>
        </w:rPr>
        <w:lastRenderedPageBreak/>
        <w:t>(Title)</w:t>
      </w:r>
    </w:p>
    <w:p w:rsidR="00B33350" w:rsidRPr="00BA3D36" w:rsidRDefault="00B33350" w:rsidP="00BA3D36">
      <w:pPr>
        <w:pStyle w:val="NormalWeb"/>
        <w:spacing w:line="276" w:lineRule="auto"/>
        <w:jc w:val="both"/>
        <w:rPr>
          <w:rFonts w:ascii="Century Gothic" w:hAnsi="Century Gothic" w:cs="Arial"/>
          <w:szCs w:val="22"/>
        </w:rPr>
      </w:pPr>
      <w:r w:rsidRPr="00BA3D36">
        <w:rPr>
          <w:rFonts w:ascii="Century Gothic" w:hAnsi="Century Gothic" w:cs="Arial"/>
          <w:szCs w:val="22"/>
        </w:rPr>
        <w:t>I......................................................................... the above-named, present the accompanying memorandum of appeal from the decree in the above suit and apply to be allowed to appeal as a pauper.</w:t>
      </w:r>
    </w:p>
    <w:p w:rsidR="00B33350" w:rsidRPr="00BA3D36" w:rsidRDefault="00B33350" w:rsidP="00BA3D36">
      <w:pPr>
        <w:pStyle w:val="NormalWeb"/>
        <w:spacing w:line="276" w:lineRule="auto"/>
        <w:jc w:val="both"/>
        <w:rPr>
          <w:rFonts w:ascii="Century Gothic" w:hAnsi="Century Gothic" w:cs="Arial"/>
          <w:szCs w:val="22"/>
        </w:rPr>
      </w:pPr>
      <w:r w:rsidRPr="00BA3D36">
        <w:rPr>
          <w:rFonts w:ascii="Century Gothic" w:hAnsi="Century Gothic" w:cs="Arial"/>
          <w:szCs w:val="22"/>
        </w:rPr>
        <w:t>Annexed is a full and true schedule of all the movable and immovable property belonging to me with the estimated value thereof.</w:t>
      </w:r>
    </w:p>
    <w:p w:rsidR="00B33350" w:rsidRPr="00BA3D36" w:rsidRDefault="00B33350" w:rsidP="00BA3D36">
      <w:pPr>
        <w:pStyle w:val="NormalWeb"/>
        <w:spacing w:line="276" w:lineRule="auto"/>
        <w:jc w:val="both"/>
        <w:rPr>
          <w:rFonts w:ascii="Century Gothic" w:hAnsi="Century Gothic" w:cs="Arial"/>
          <w:szCs w:val="22"/>
        </w:rPr>
      </w:pPr>
      <w:r w:rsidRPr="00BA3D36">
        <w:rPr>
          <w:rFonts w:ascii="Century Gothic" w:hAnsi="Century Gothic" w:cs="Arial"/>
          <w:szCs w:val="22"/>
        </w:rPr>
        <w:t>Dated the......................... day of............................... 19..................</w:t>
      </w:r>
    </w:p>
    <w:p w:rsidR="00B33350" w:rsidRPr="00BA3D36" w:rsidRDefault="00B33350" w:rsidP="00BA3D36">
      <w:pPr>
        <w:pStyle w:val="NormalWeb"/>
        <w:spacing w:line="276" w:lineRule="auto"/>
        <w:jc w:val="right"/>
        <w:rPr>
          <w:rFonts w:ascii="Century Gothic" w:hAnsi="Century Gothic" w:cs="Arial"/>
          <w:szCs w:val="22"/>
        </w:rPr>
      </w:pPr>
      <w:r w:rsidRPr="00BA3D36">
        <w:rPr>
          <w:rFonts w:ascii="Century Gothic" w:hAnsi="Century Gothic" w:cs="Arial"/>
          <w:szCs w:val="22"/>
        </w:rPr>
        <w:t>(Signed)</w:t>
      </w:r>
    </w:p>
    <w:p w:rsidR="00B33350" w:rsidRPr="00BA3D36" w:rsidRDefault="00B33350" w:rsidP="00BA3D36">
      <w:pPr>
        <w:pStyle w:val="NormalWeb"/>
        <w:spacing w:line="276" w:lineRule="auto"/>
        <w:rPr>
          <w:rFonts w:ascii="Century Gothic" w:hAnsi="Century Gothic" w:cs="Arial"/>
          <w:szCs w:val="22"/>
        </w:rPr>
      </w:pPr>
      <w:r w:rsidRPr="00BA3D36">
        <w:rPr>
          <w:rFonts w:ascii="Century Gothic" w:hAnsi="Century Gothic" w:cs="Arial"/>
          <w:szCs w:val="22"/>
        </w:rPr>
        <w:t xml:space="preserve">[Note— </w:t>
      </w:r>
      <w:proofErr w:type="gramStart"/>
      <w:r w:rsidRPr="00BA3D36">
        <w:rPr>
          <w:rFonts w:ascii="Century Gothic" w:hAnsi="Century Gothic" w:cs="Arial"/>
          <w:szCs w:val="22"/>
        </w:rPr>
        <w:t>Where</w:t>
      </w:r>
      <w:proofErr w:type="gramEnd"/>
      <w:r w:rsidRPr="00BA3D36">
        <w:rPr>
          <w:rFonts w:ascii="Century Gothic" w:hAnsi="Century Gothic" w:cs="Arial"/>
          <w:szCs w:val="22"/>
        </w:rPr>
        <w:t xml:space="preserve"> the application is by the plaintiff he should state whether he applied and was allowed to sue in the Court of first instance as a pauper].</w:t>
      </w:r>
    </w:p>
    <w:p w:rsidR="00B33350" w:rsidRPr="00BA3D36" w:rsidRDefault="00B33350" w:rsidP="00BA3D36">
      <w:pPr>
        <w:pStyle w:val="NormalWeb"/>
        <w:spacing w:line="276" w:lineRule="auto"/>
        <w:ind w:left="1440"/>
        <w:rPr>
          <w:rFonts w:ascii="Century Gothic" w:hAnsi="Century Gothic" w:cs="Arial"/>
          <w:szCs w:val="22"/>
        </w:rPr>
      </w:pPr>
      <w:r w:rsidRPr="00BA3D36">
        <w:rPr>
          <w:rFonts w:ascii="Century Gothic" w:hAnsi="Century Gothic" w:cs="Arial"/>
          <w:szCs w:val="22"/>
        </w:rPr>
        <w:t xml:space="preserve">1. </w:t>
      </w:r>
      <w:proofErr w:type="spellStart"/>
      <w:r w:rsidRPr="00BA3D36">
        <w:rPr>
          <w:rFonts w:ascii="Century Gothic" w:hAnsi="Century Gothic" w:cs="Arial"/>
          <w:szCs w:val="22"/>
        </w:rPr>
        <w:t>Certtral</w:t>
      </w:r>
      <w:proofErr w:type="spellEnd"/>
      <w:r w:rsidRPr="00BA3D36">
        <w:rPr>
          <w:rFonts w:ascii="Century Gothic" w:hAnsi="Century Gothic" w:cs="Arial"/>
          <w:szCs w:val="22"/>
        </w:rPr>
        <w:t xml:space="preserve"> Bank of India v. State of Gujarat and others. </w:t>
      </w:r>
      <w:proofErr w:type="gramStart"/>
      <w:r w:rsidRPr="00BA3D36">
        <w:rPr>
          <w:rFonts w:ascii="Century Gothic" w:hAnsi="Century Gothic" w:cs="Arial"/>
          <w:szCs w:val="22"/>
        </w:rPr>
        <w:t>(1987) 4 S. C. C. 407.</w:t>
      </w:r>
      <w:proofErr w:type="gramEnd"/>
    </w:p>
    <w:p w:rsidR="00B33350" w:rsidRPr="00BA3D36" w:rsidRDefault="00B33350" w:rsidP="00BA3D36">
      <w:pPr>
        <w:pStyle w:val="NormalWeb"/>
        <w:spacing w:line="276" w:lineRule="auto"/>
        <w:ind w:left="1440"/>
        <w:rPr>
          <w:rFonts w:ascii="Century Gothic" w:hAnsi="Century Gothic" w:cs="Arial"/>
          <w:szCs w:val="22"/>
        </w:rPr>
      </w:pPr>
      <w:proofErr w:type="gramStart"/>
      <w:r w:rsidRPr="00BA3D36">
        <w:rPr>
          <w:rFonts w:ascii="Century Gothic" w:hAnsi="Century Gothic" w:cs="Arial"/>
          <w:szCs w:val="22"/>
        </w:rPr>
        <w:t xml:space="preserve">2. </w:t>
      </w:r>
      <w:proofErr w:type="spellStart"/>
      <w:r w:rsidRPr="00BA3D36">
        <w:rPr>
          <w:rFonts w:ascii="Century Gothic" w:hAnsi="Century Gothic" w:cs="Arial"/>
          <w:szCs w:val="22"/>
        </w:rPr>
        <w:t>Naib</w:t>
      </w:r>
      <w:proofErr w:type="spellEnd"/>
      <w:r w:rsidRPr="00BA3D36">
        <w:rPr>
          <w:rFonts w:ascii="Century Gothic" w:hAnsi="Century Gothic" w:cs="Arial"/>
          <w:szCs w:val="22"/>
        </w:rPr>
        <w:t xml:space="preserve"> Singh v. </w:t>
      </w:r>
      <w:proofErr w:type="spellStart"/>
      <w:r w:rsidRPr="00BA3D36">
        <w:rPr>
          <w:rFonts w:ascii="Century Gothic" w:hAnsi="Century Gothic" w:cs="Arial"/>
          <w:szCs w:val="22"/>
        </w:rPr>
        <w:t>Bikrama</w:t>
      </w:r>
      <w:proofErr w:type="spellEnd"/>
      <w:r w:rsidRPr="00BA3D36">
        <w:rPr>
          <w:rFonts w:ascii="Century Gothic" w:hAnsi="Century Gothic" w:cs="Arial"/>
          <w:szCs w:val="22"/>
        </w:rPr>
        <w:t xml:space="preserve"> Singh, 1972 R. L. R. 315.</w:t>
      </w:r>
      <w:proofErr w:type="gramEnd"/>
    </w:p>
    <w:p w:rsidR="00B33350" w:rsidRPr="00BA3D36" w:rsidRDefault="00B33350" w:rsidP="00BA3D36">
      <w:pPr>
        <w:pStyle w:val="NormalWeb"/>
        <w:spacing w:line="276" w:lineRule="auto"/>
        <w:ind w:left="1440"/>
        <w:rPr>
          <w:rFonts w:ascii="Century Gothic" w:hAnsi="Century Gothic" w:cs="Arial"/>
          <w:szCs w:val="22"/>
        </w:rPr>
      </w:pPr>
      <w:proofErr w:type="gramStart"/>
      <w:r w:rsidRPr="00BA3D36">
        <w:rPr>
          <w:rFonts w:ascii="Century Gothic" w:hAnsi="Century Gothic" w:cs="Arial"/>
          <w:szCs w:val="22"/>
        </w:rPr>
        <w:t xml:space="preserve">3. </w:t>
      </w:r>
      <w:proofErr w:type="spellStart"/>
      <w:r w:rsidRPr="00BA3D36">
        <w:rPr>
          <w:rFonts w:ascii="Century Gothic" w:hAnsi="Century Gothic" w:cs="Arial"/>
          <w:szCs w:val="22"/>
        </w:rPr>
        <w:t>Radhey</w:t>
      </w:r>
      <w:proofErr w:type="spellEnd"/>
      <w:r w:rsidRPr="00BA3D36">
        <w:rPr>
          <w:rFonts w:ascii="Century Gothic" w:hAnsi="Century Gothic" w:cs="Arial"/>
          <w:szCs w:val="22"/>
        </w:rPr>
        <w:t xml:space="preserve"> </w:t>
      </w:r>
      <w:proofErr w:type="spellStart"/>
      <w:r w:rsidRPr="00BA3D36">
        <w:rPr>
          <w:rFonts w:ascii="Century Gothic" w:hAnsi="Century Gothic" w:cs="Arial"/>
          <w:szCs w:val="22"/>
        </w:rPr>
        <w:t>Shyam</w:t>
      </w:r>
      <w:proofErr w:type="spellEnd"/>
      <w:r w:rsidRPr="00BA3D36">
        <w:rPr>
          <w:rFonts w:ascii="Century Gothic" w:hAnsi="Century Gothic" w:cs="Arial"/>
          <w:szCs w:val="22"/>
        </w:rPr>
        <w:t xml:space="preserve"> v. </w:t>
      </w:r>
      <w:proofErr w:type="spellStart"/>
      <w:r w:rsidRPr="00BA3D36">
        <w:rPr>
          <w:rFonts w:ascii="Century Gothic" w:hAnsi="Century Gothic" w:cs="Arial"/>
          <w:szCs w:val="22"/>
        </w:rPr>
        <w:t>Sita</w:t>
      </w:r>
      <w:proofErr w:type="spellEnd"/>
      <w:r w:rsidRPr="00BA3D36">
        <w:rPr>
          <w:rFonts w:ascii="Century Gothic" w:hAnsi="Century Gothic" w:cs="Arial"/>
          <w:szCs w:val="22"/>
        </w:rPr>
        <w:t xml:space="preserve"> Ram, A. I. R. 1981 Raj.</w:t>
      </w:r>
      <w:proofErr w:type="gramEnd"/>
      <w:r w:rsidRPr="00BA3D36">
        <w:rPr>
          <w:rFonts w:ascii="Century Gothic" w:hAnsi="Century Gothic" w:cs="Arial"/>
          <w:szCs w:val="22"/>
        </w:rPr>
        <w:t xml:space="preserve"> 105.</w:t>
      </w:r>
    </w:p>
    <w:p w:rsidR="00B33350" w:rsidRPr="00BA3D36" w:rsidRDefault="00B33350" w:rsidP="00BA3D36">
      <w:pPr>
        <w:spacing w:line="276" w:lineRule="auto"/>
        <w:rPr>
          <w:rFonts w:ascii="Century Gothic" w:hAnsi="Century Gothic" w:cs="Arial"/>
          <w:szCs w:val="22"/>
        </w:rPr>
      </w:pPr>
    </w:p>
    <w:bookmarkEnd w:id="0"/>
    <w:p w:rsidR="00270574" w:rsidRPr="00BA3D36" w:rsidRDefault="00270574" w:rsidP="00BA3D36">
      <w:pPr>
        <w:spacing w:line="276" w:lineRule="auto"/>
        <w:rPr>
          <w:rFonts w:ascii="Century Gothic" w:hAnsi="Century Gothic" w:cs="Arial"/>
          <w:szCs w:val="22"/>
        </w:rPr>
      </w:pPr>
    </w:p>
    <w:sectPr w:rsidR="00270574" w:rsidRPr="00BA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29"/>
    <w:rsid w:val="00270574"/>
    <w:rsid w:val="00753AE3"/>
    <w:rsid w:val="00B33350"/>
    <w:rsid w:val="00BA3D36"/>
    <w:rsid w:val="00E2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5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33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5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3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SECURITY%20BOND%20TO%20BE%20GIVEN%20ON%20ORDER%20BEING%20MADE%20TO%20STAY%20EXECUTION%20OF%20DECREE%20(O.%2041,%20R.%20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TO BE GIVEN ON ORDER BEING MADE TO STAY EXECUTION OF DECREE (O. 41, R. 5. ).</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2024-06-15T13:59:00Z</dcterms:created>
  <dcterms:modified xsi:type="dcterms:W3CDTF">2024-06-15T13:59:00Z</dcterms:modified>
</cp:coreProperties>
</file>